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6F52" w:rsidRDefault="00266F52" w:rsidP="00760AF3">
      <w:pPr>
        <w:pStyle w:val="Heading1"/>
        <w:spacing w:before="0"/>
        <w:ind w:left="0"/>
      </w:pPr>
      <w:bookmarkStart w:id="0" w:name="_Hlk523866838"/>
      <w:bookmarkStart w:id="1" w:name="_Hlk523866793"/>
      <w:bookmarkStart w:id="2" w:name="_Hlk523866855"/>
      <w:bookmarkStart w:id="3" w:name="_GoBack"/>
      <w:bookmarkEnd w:id="3"/>
      <w:r>
        <w:rPr>
          <w:color w:val="231F20"/>
        </w:rPr>
        <w:t>Painting magnetism on a canvas of graphene</w:t>
      </w:r>
    </w:p>
    <w:p w:rsidR="00266F52" w:rsidRPr="00EE1131" w:rsidRDefault="00266F52" w:rsidP="00760AF3">
      <w:pPr>
        <w:pStyle w:val="Heading2"/>
        <w:spacing w:line="240" w:lineRule="auto"/>
        <w:ind w:left="0"/>
        <w:rPr>
          <w:rFonts w:ascii="Franklin Gothic Book" w:hAnsi="Franklin Gothic Book"/>
        </w:rPr>
      </w:pPr>
      <w:r w:rsidRPr="00EE1131">
        <w:rPr>
          <w:rFonts w:ascii="Franklin Gothic Book" w:hAnsi="Franklin Gothic Book"/>
          <w:color w:val="4C4C4E"/>
          <w:spacing w:val="-3"/>
        </w:rPr>
        <w:t xml:space="preserve">Hydrogen </w:t>
      </w:r>
      <w:r w:rsidRPr="00EE1131">
        <w:rPr>
          <w:rFonts w:ascii="Franklin Gothic Book" w:hAnsi="Franklin Gothic Book"/>
          <w:color w:val="4C4C4E"/>
        </w:rPr>
        <w:t xml:space="preserve">adatoms can </w:t>
      </w:r>
      <w:r w:rsidRPr="00EE1131">
        <w:rPr>
          <w:rFonts w:ascii="Franklin Gothic Book" w:hAnsi="Franklin Gothic Book"/>
          <w:color w:val="4C4C4E"/>
          <w:spacing w:val="-4"/>
        </w:rPr>
        <w:t xml:space="preserve">give </w:t>
      </w:r>
      <w:r w:rsidRPr="00EE1131">
        <w:rPr>
          <w:rFonts w:ascii="Franklin Gothic Book" w:hAnsi="Franklin Gothic Book"/>
          <w:color w:val="4C4C4E"/>
        </w:rPr>
        <w:t>long-range magnetic order to</w:t>
      </w:r>
      <w:r w:rsidRPr="00EE1131">
        <w:rPr>
          <w:rFonts w:ascii="Franklin Gothic Book" w:hAnsi="Franklin Gothic Book"/>
          <w:color w:val="4C4C4E"/>
          <w:spacing w:val="73"/>
        </w:rPr>
        <w:t xml:space="preserve"> </w:t>
      </w:r>
      <w:r w:rsidRPr="00EE1131">
        <w:rPr>
          <w:rFonts w:ascii="Franklin Gothic Book" w:hAnsi="Franklin Gothic Book"/>
          <w:color w:val="4C4C4E"/>
        </w:rPr>
        <w:t>graphene</w:t>
      </w:r>
    </w:p>
    <w:p w:rsidR="00266F52" w:rsidRPr="00EE1131" w:rsidRDefault="00266F52" w:rsidP="00760AF3">
      <w:pPr>
        <w:spacing w:before="120" w:line="240" w:lineRule="auto"/>
        <w:rPr>
          <w:rFonts w:ascii="Georgia" w:hAnsi="Georgia"/>
          <w:b/>
          <w:sz w:val="24"/>
        </w:rPr>
      </w:pPr>
      <w:r w:rsidRPr="00EE1131">
        <w:rPr>
          <w:rFonts w:ascii="Georgia" w:hAnsi="Georgia"/>
          <w:i/>
          <w:color w:val="4C4C4E"/>
          <w:sz w:val="24"/>
        </w:rPr>
        <w:t xml:space="preserve">By </w:t>
      </w:r>
      <w:r w:rsidRPr="00EE1131">
        <w:rPr>
          <w:rFonts w:ascii="Georgia" w:hAnsi="Georgia"/>
          <w:b/>
          <w:color w:val="4C4C4E"/>
          <w:sz w:val="24"/>
        </w:rPr>
        <w:t xml:space="preserve">S. M. Hollen </w:t>
      </w:r>
      <w:r w:rsidRPr="00EE1131">
        <w:rPr>
          <w:rFonts w:ascii="Georgia" w:hAnsi="Georgia"/>
          <w:i/>
          <w:color w:val="4C4C4E"/>
          <w:sz w:val="24"/>
        </w:rPr>
        <w:t xml:space="preserve">and </w:t>
      </w:r>
      <w:r w:rsidRPr="00EE1131">
        <w:rPr>
          <w:rFonts w:ascii="Georgia" w:hAnsi="Georgia"/>
          <w:b/>
          <w:color w:val="4C4C4E"/>
          <w:sz w:val="24"/>
        </w:rPr>
        <w:t>J. A. Gupta</w:t>
      </w:r>
    </w:p>
    <w:p w:rsidR="00266F52" w:rsidRDefault="00266F52" w:rsidP="00760AF3">
      <w:pPr>
        <w:pStyle w:val="BodyText"/>
        <w:spacing w:before="10"/>
        <w:rPr>
          <w:rFonts w:ascii="Georgia"/>
          <w:b/>
          <w:sz w:val="19"/>
        </w:rPr>
      </w:pPr>
    </w:p>
    <w:p w:rsidR="00266F52" w:rsidRPr="00EE1131" w:rsidRDefault="00266F52" w:rsidP="00760AF3">
      <w:pPr>
        <w:pStyle w:val="BodyText"/>
        <w:spacing w:after="120"/>
        <w:ind w:firstLine="400"/>
        <w:jc w:val="both"/>
        <w:rPr>
          <w:sz w:val="24"/>
        </w:rPr>
      </w:pPr>
      <w:r>
        <w:rPr>
          <w:noProof/>
          <w:color w:val="231F20"/>
          <w:sz w:val="24"/>
        </w:rPr>
        <w:drawing>
          <wp:anchor distT="0" distB="0" distL="114300" distR="114300" simplePos="0" relativeHeight="251662336" behindDoc="0" locked="0" layoutInCell="1" allowOverlap="1" wp14:anchorId="2E664221" wp14:editId="2403A8AF">
            <wp:simplePos x="0" y="0"/>
            <wp:positionH relativeFrom="column">
              <wp:posOffset>3222</wp:posOffset>
            </wp:positionH>
            <wp:positionV relativeFrom="paragraph">
              <wp:posOffset>2179178</wp:posOffset>
            </wp:positionV>
            <wp:extent cx="6925310" cy="4289425"/>
            <wp:effectExtent l="0" t="0" r="889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inting magnetism on a canvas of graphe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25310" cy="4289425"/>
                    </a:xfrm>
                    <a:prstGeom prst="rect">
                      <a:avLst/>
                    </a:prstGeom>
                  </pic:spPr>
                </pic:pic>
              </a:graphicData>
            </a:graphic>
          </wp:anchor>
        </w:drawing>
      </w:r>
      <w:r w:rsidRPr="00EE1131">
        <w:rPr>
          <w:color w:val="231F20"/>
          <w:sz w:val="24"/>
        </w:rPr>
        <w:t>An inherent aspect of any two-dimensional (2D) sheet is that all atoms in the material lie on the surface. This leads to a concept of 2D crystals as</w:t>
      </w:r>
      <w:r>
        <w:rPr>
          <w:color w:val="231F20"/>
          <w:sz w:val="24"/>
        </w:rPr>
        <w:t xml:space="preserve"> </w:t>
      </w:r>
      <w:r w:rsidRPr="00EE1131">
        <w:rPr>
          <w:color w:val="231F20"/>
          <w:sz w:val="24"/>
        </w:rPr>
        <w:t>a “canvas,” where different chemical groups or “ink” on the surface</w:t>
      </w:r>
      <w:r>
        <w:rPr>
          <w:color w:val="231F20"/>
          <w:sz w:val="24"/>
        </w:rPr>
        <w:t xml:space="preserve"> </w:t>
      </w:r>
      <w:r w:rsidRPr="00EE1131">
        <w:rPr>
          <w:color w:val="231F20"/>
          <w:sz w:val="24"/>
        </w:rPr>
        <w:t>can lead to a palette of distinct materials properties. The most well-studied 2D crystal is graphene, a one-atom-thick sheet of carbon atoms arranged in a honeycomb lattice. Although graphene’s superlative materials properties and novel</w:t>
      </w:r>
      <w:r>
        <w:rPr>
          <w:color w:val="231F20"/>
          <w:sz w:val="24"/>
        </w:rPr>
        <w:t xml:space="preserve"> </w:t>
      </w:r>
      <w:r w:rsidRPr="00EE1131">
        <w:rPr>
          <w:color w:val="231F20"/>
          <w:sz w:val="24"/>
        </w:rPr>
        <w:t>physical</w:t>
      </w:r>
      <w:r>
        <w:rPr>
          <w:color w:val="231F20"/>
          <w:sz w:val="24"/>
        </w:rPr>
        <w:t xml:space="preserve"> </w:t>
      </w:r>
      <w:r w:rsidRPr="00EE1131">
        <w:rPr>
          <w:color w:val="231F20"/>
          <w:sz w:val="24"/>
        </w:rPr>
        <w:t>phenomena</w:t>
      </w:r>
      <w:r>
        <w:rPr>
          <w:color w:val="231F20"/>
          <w:sz w:val="24"/>
        </w:rPr>
        <w:t xml:space="preserve"> </w:t>
      </w:r>
      <w:r w:rsidRPr="00EE1131">
        <w:rPr>
          <w:color w:val="231F20"/>
          <w:sz w:val="24"/>
        </w:rPr>
        <w:t>have</w:t>
      </w:r>
      <w:r>
        <w:rPr>
          <w:color w:val="231F20"/>
          <w:sz w:val="24"/>
        </w:rPr>
        <w:t xml:space="preserve"> </w:t>
      </w:r>
      <w:r w:rsidRPr="00EE1131">
        <w:rPr>
          <w:color w:val="231F20"/>
          <w:sz w:val="24"/>
        </w:rPr>
        <w:t>led</w:t>
      </w:r>
      <w:r>
        <w:rPr>
          <w:color w:val="231F20"/>
          <w:sz w:val="24"/>
        </w:rPr>
        <w:t xml:space="preserve"> </w:t>
      </w:r>
      <w:r w:rsidRPr="00EE1131">
        <w:rPr>
          <w:color w:val="231F20"/>
          <w:sz w:val="24"/>
        </w:rPr>
        <w:t>to</w:t>
      </w:r>
      <w:r>
        <w:rPr>
          <w:color w:val="231F20"/>
          <w:sz w:val="24"/>
        </w:rPr>
        <w:t xml:space="preserve"> </w:t>
      </w:r>
      <w:r w:rsidRPr="00EE1131">
        <w:rPr>
          <w:color w:val="231F20"/>
          <w:sz w:val="24"/>
        </w:rPr>
        <w:t>a</w:t>
      </w:r>
      <w:r>
        <w:rPr>
          <w:color w:val="231F20"/>
          <w:sz w:val="24"/>
        </w:rPr>
        <w:t xml:space="preserve"> </w:t>
      </w:r>
      <w:r w:rsidRPr="00EE1131">
        <w:rPr>
          <w:color w:val="231F20"/>
          <w:sz w:val="24"/>
        </w:rPr>
        <w:t>variety</w:t>
      </w:r>
      <w:r>
        <w:rPr>
          <w:color w:val="231F20"/>
          <w:sz w:val="24"/>
        </w:rPr>
        <w:t xml:space="preserve"> </w:t>
      </w:r>
      <w:r w:rsidRPr="00EE1131">
        <w:rPr>
          <w:color w:val="231F20"/>
          <w:sz w:val="24"/>
        </w:rPr>
        <w:t>of applications (</w:t>
      </w:r>
      <w:bookmarkStart w:id="4" w:name="_Ref523941478"/>
      <w:r w:rsidRPr="00A96ECC">
        <w:rPr>
          <w:rStyle w:val="EndnoteReference"/>
          <w:sz w:val="24"/>
        </w:rPr>
        <w:endnoteReference w:id="1"/>
      </w:r>
      <w:bookmarkEnd w:id="4"/>
      <w:r w:rsidRPr="00EE1131">
        <w:rPr>
          <w:color w:val="231F20"/>
          <w:sz w:val="24"/>
        </w:rPr>
        <w:t>), better tunability of these properties is still required. Toward this end, hydrogenated graphene (graphane)</w:t>
      </w:r>
      <w:r>
        <w:rPr>
          <w:color w:val="231F20"/>
          <w:sz w:val="24"/>
        </w:rPr>
        <w:t xml:space="preserve"> </w:t>
      </w:r>
      <w:r w:rsidRPr="00EE1131">
        <w:rPr>
          <w:color w:val="231F20"/>
          <w:sz w:val="24"/>
        </w:rPr>
        <w:t>was</w:t>
      </w:r>
      <w:r>
        <w:rPr>
          <w:color w:val="231F20"/>
          <w:sz w:val="24"/>
        </w:rPr>
        <w:t xml:space="preserve"> </w:t>
      </w:r>
      <w:r w:rsidRPr="00EE1131">
        <w:rPr>
          <w:color w:val="231F20"/>
          <w:sz w:val="24"/>
        </w:rPr>
        <w:t>predicted to have a wide band gap and exhibit magnetic order (</w:t>
      </w:r>
      <w:bookmarkStart w:id="5" w:name="_Ref523941499"/>
      <w:r w:rsidRPr="00A96ECC">
        <w:rPr>
          <w:rStyle w:val="EndnoteReference"/>
          <w:sz w:val="24"/>
        </w:rPr>
        <w:endnoteReference w:id="2"/>
      </w:r>
      <w:bookmarkEnd w:id="5"/>
      <w:r>
        <w:rPr>
          <w:color w:val="231F20"/>
          <w:sz w:val="24"/>
        </w:rPr>
        <w:t xml:space="preserve">, </w:t>
      </w:r>
      <w:r w:rsidRPr="00A96ECC">
        <w:rPr>
          <w:rStyle w:val="EndnoteReference"/>
          <w:sz w:val="24"/>
        </w:rPr>
        <w:endnoteReference w:id="3"/>
      </w:r>
      <w:r>
        <w:rPr>
          <w:color w:val="231F20"/>
          <w:sz w:val="24"/>
        </w:rPr>
        <w:t>,</w:t>
      </w:r>
      <w:bookmarkStart w:id="6" w:name="_Ref523941434"/>
      <w:r w:rsidRPr="00A96ECC">
        <w:rPr>
          <w:rStyle w:val="EndnoteReference"/>
          <w:sz w:val="24"/>
        </w:rPr>
        <w:endnoteReference w:id="4"/>
      </w:r>
      <w:bookmarkEnd w:id="6"/>
      <w:r w:rsidRPr="00EE1131">
        <w:rPr>
          <w:color w:val="231F20"/>
          <w:sz w:val="24"/>
        </w:rPr>
        <w:t>), in contrast to graphene, which is (semi)metallic and diamagnetic. The chemical stability of graphene makes hydrogenation difcult to control, and this has hampered e</w:t>
      </w:r>
      <w:r>
        <w:rPr>
          <w:color w:val="231F20"/>
          <w:sz w:val="24"/>
        </w:rPr>
        <w:t>ff</w:t>
      </w:r>
      <w:r w:rsidRPr="00EE1131">
        <w:rPr>
          <w:color w:val="231F20"/>
          <w:sz w:val="24"/>
        </w:rPr>
        <w:t>orts to tune its electronic</w:t>
      </w:r>
      <w:r>
        <w:rPr>
          <w:color w:val="231F20"/>
          <w:sz w:val="24"/>
        </w:rPr>
        <w:t xml:space="preserve"> </w:t>
      </w:r>
      <w:r w:rsidRPr="00EE1131">
        <w:rPr>
          <w:color w:val="231F20"/>
          <w:sz w:val="24"/>
        </w:rPr>
        <w:t xml:space="preserve">or magnetic properties. On page 437 of this issue, González-Herrero </w:t>
      </w:r>
      <w:r w:rsidRPr="00EE1131">
        <w:rPr>
          <w:i/>
          <w:color w:val="231F20"/>
          <w:sz w:val="24"/>
        </w:rPr>
        <w:t xml:space="preserve">et al. </w:t>
      </w:r>
      <w:r w:rsidRPr="00EE1131">
        <w:rPr>
          <w:color w:val="231F20"/>
          <w:sz w:val="24"/>
        </w:rPr>
        <w:t>(</w:t>
      </w:r>
      <w:bookmarkStart w:id="7" w:name="_Ref523941542"/>
      <w:r w:rsidRPr="00A96ECC">
        <w:rPr>
          <w:rStyle w:val="EndnoteReference"/>
          <w:sz w:val="24"/>
        </w:rPr>
        <w:endnoteReference w:id="5"/>
      </w:r>
      <w:bookmarkEnd w:id="7"/>
      <w:r w:rsidRPr="00EE1131">
        <w:rPr>
          <w:color w:val="231F20"/>
          <w:sz w:val="24"/>
        </w:rPr>
        <w:t>) report direct evidence that hydrogen atoms on graphene do indeed yield a magnetic moment and that these moments can order ferromagnetically over relatively large distances. If these methods can be extended</w:t>
      </w:r>
      <w:r>
        <w:rPr>
          <w:color w:val="231F20"/>
          <w:sz w:val="24"/>
        </w:rPr>
        <w:t xml:space="preserve"> </w:t>
      </w:r>
      <w:r w:rsidRPr="00EE1131">
        <w:rPr>
          <w:color w:val="231F20"/>
          <w:sz w:val="24"/>
        </w:rPr>
        <w:t>to industrial scales, then one can imagine storing information at unprecedented densities by painting magnetic bits on graphene canvases (see the ﬁgure).</w:t>
      </w:r>
    </w:p>
    <w:p w:rsidR="00266F52" w:rsidRPr="0080543E" w:rsidRDefault="00266F52" w:rsidP="00760AF3">
      <w:pPr>
        <w:autoSpaceDE w:val="0"/>
        <w:autoSpaceDN w:val="0"/>
        <w:adjustRightInd w:val="0"/>
        <w:spacing w:after="0" w:line="240" w:lineRule="auto"/>
        <w:rPr>
          <w:rFonts w:ascii="Times New Roman" w:hAnsi="Times New Roman"/>
          <w:color w:val="231F20"/>
          <w:sz w:val="24"/>
        </w:rPr>
      </w:pPr>
      <w:r w:rsidRPr="0080543E">
        <w:rPr>
          <w:rFonts w:ascii="BentonSansCondensed-Bold" w:hAnsi="BentonSansCondensed-Bold" w:cs="BentonSansCondensed-Bold"/>
          <w:b/>
          <w:bCs/>
          <w:sz w:val="24"/>
          <w:szCs w:val="15"/>
        </w:rPr>
        <w:t xml:space="preserve">Making graphene magnetic. </w:t>
      </w:r>
      <w:r w:rsidRPr="0080543E">
        <w:rPr>
          <w:rFonts w:ascii="BentonSansCondensed-Book" w:hAnsi="BentonSansCondensed-Book" w:cs="BentonSansCondensed-Book"/>
          <w:sz w:val="24"/>
          <w:szCs w:val="15"/>
        </w:rPr>
        <w:t>Magnetic moments are formed when hydrogen atoms bond to carbon atoms in the honeycomb graphene lattice. The honeycomb lattice comprises two "sublattices," and the moments align ferromagnetically (blue) when on the same sublattice and antiferromagnetically (orange) when on the opposing sublattice.</w:t>
      </w:r>
    </w:p>
    <w:p w:rsidR="00266F52" w:rsidRPr="00F816D6" w:rsidRDefault="00266F52" w:rsidP="00760AF3">
      <w:pPr>
        <w:spacing w:after="0" w:line="240" w:lineRule="auto"/>
        <w:ind w:firstLine="400"/>
        <w:jc w:val="both"/>
        <w:rPr>
          <w:rFonts w:ascii="Times New Roman" w:hAnsi="Times New Roman"/>
          <w:sz w:val="24"/>
        </w:rPr>
      </w:pPr>
      <w:r w:rsidRPr="00EE1131">
        <w:rPr>
          <w:rFonts w:ascii="Times New Roman" w:hAnsi="Times New Roman"/>
          <w:color w:val="231F20"/>
          <w:sz w:val="24"/>
        </w:rPr>
        <w:t>Magnetism in graphene arises when there is an imbalance in the two hexagonal sublattices that combine to form the overall honeycomb lattice. Although the sublattices are indistinguishable in the ideal, isolated single sheet, the number of atoms in each sublattice can be made unequal because of factors such as point defects or geometric shape. A hydrogen adatom, for example, bonds with the carbon’s p</w:t>
      </w:r>
      <w:r w:rsidRPr="00607A7F">
        <w:rPr>
          <w:rFonts w:ascii="Times New Roman" w:hAnsi="Times New Roman"/>
          <w:color w:val="231F20"/>
          <w:sz w:val="24"/>
          <w:vertAlign w:val="subscript"/>
        </w:rPr>
        <w:t>z</w:t>
      </w:r>
      <w:r w:rsidRPr="00EE1131">
        <w:rPr>
          <w:rFonts w:ascii="Times New Roman" w:hAnsi="Times New Roman"/>
          <w:color w:val="231F20"/>
          <w:sz w:val="24"/>
        </w:rPr>
        <w:t>-orbital, thus removing it from the network responsible for graphene’s band structure. A counting rule emerges, predicting an integer number of spin-polarized states equal to this imbalance, which can lead to magnetism. The experimental search for magnetic carbon has a controversial history, starting ﬁrst</w:t>
      </w:r>
      <w:r>
        <w:rPr>
          <w:rFonts w:ascii="Times New Roman" w:hAnsi="Times New Roman"/>
          <w:color w:val="231F20"/>
          <w:sz w:val="24"/>
        </w:rPr>
        <w:t xml:space="preserve"> </w:t>
      </w:r>
      <w:r w:rsidRPr="00EE1131">
        <w:rPr>
          <w:rFonts w:ascii="Times New Roman" w:hAnsi="Times New Roman"/>
          <w:color w:val="231F20"/>
          <w:sz w:val="24"/>
        </w:rPr>
        <w:t>in organic materials, then later in graphite and graphene. For example, early reports of ferromagnetism in polymerized C</w:t>
      </w:r>
      <w:r w:rsidRPr="00607A7F">
        <w:rPr>
          <w:rFonts w:ascii="Times New Roman" w:hAnsi="Times New Roman"/>
          <w:color w:val="231F20"/>
          <w:sz w:val="24"/>
          <w:vertAlign w:val="subscript"/>
        </w:rPr>
        <w:t>60</w:t>
      </w:r>
      <w:r w:rsidRPr="00EE1131">
        <w:rPr>
          <w:rFonts w:ascii="Times New Roman" w:hAnsi="Times New Roman"/>
          <w:color w:val="231F20"/>
          <w:sz w:val="24"/>
        </w:rPr>
        <w:t xml:space="preserve"> (</w:t>
      </w:r>
      <w:r w:rsidRPr="00A96ECC">
        <w:rPr>
          <w:rStyle w:val="EndnoteReference"/>
          <w:sz w:val="24"/>
        </w:rPr>
        <w:endnoteReference w:id="6"/>
      </w:r>
      <w:r w:rsidRPr="00EE1131">
        <w:rPr>
          <w:rFonts w:ascii="Times New Roman" w:hAnsi="Times New Roman"/>
          <w:color w:val="231F20"/>
          <w:sz w:val="24"/>
        </w:rPr>
        <w:t>) were later attributed to trace amounts of</w:t>
      </w:r>
      <w:r w:rsidRPr="00EE1131">
        <w:rPr>
          <w:rFonts w:ascii="Times New Roman" w:hAnsi="Times New Roman"/>
          <w:color w:val="231F20"/>
          <w:spacing w:val="41"/>
          <w:sz w:val="24"/>
        </w:rPr>
        <w:t xml:space="preserve"> </w:t>
      </w:r>
      <w:r w:rsidRPr="00EE1131">
        <w:rPr>
          <w:rFonts w:ascii="Times New Roman" w:hAnsi="Times New Roman"/>
          <w:color w:val="231F20"/>
          <w:sz w:val="24"/>
        </w:rPr>
        <w:t>iron</w:t>
      </w:r>
      <w:r w:rsidRPr="00EE1131">
        <w:rPr>
          <w:rFonts w:ascii="Times New Roman" w:hAnsi="Times New Roman"/>
          <w:color w:val="231F20"/>
          <w:spacing w:val="22"/>
          <w:sz w:val="24"/>
        </w:rPr>
        <w:t xml:space="preserve"> </w:t>
      </w:r>
      <w:r w:rsidRPr="00EE1131">
        <w:rPr>
          <w:rFonts w:ascii="Times New Roman" w:hAnsi="Times New Roman"/>
          <w:color w:val="231F20"/>
          <w:sz w:val="24"/>
        </w:rPr>
        <w:t>in the samples (</w:t>
      </w:r>
      <w:r w:rsidRPr="00A96ECC">
        <w:rPr>
          <w:rStyle w:val="EndnoteReference"/>
          <w:sz w:val="24"/>
        </w:rPr>
        <w:endnoteReference w:id="7"/>
      </w:r>
      <w:r w:rsidRPr="00EE1131">
        <w:rPr>
          <w:rFonts w:ascii="Times New Roman" w:hAnsi="Times New Roman"/>
          <w:color w:val="231F20"/>
          <w:sz w:val="24"/>
        </w:rPr>
        <w:t>).</w:t>
      </w:r>
      <w:r w:rsidRPr="00EE1131">
        <w:rPr>
          <w:rFonts w:ascii="Times New Roman" w:hAnsi="Times New Roman"/>
          <w:color w:val="231F20"/>
          <w:spacing w:val="44"/>
          <w:sz w:val="24"/>
        </w:rPr>
        <w:t xml:space="preserve"> </w:t>
      </w:r>
      <w:r w:rsidRPr="00EE1131">
        <w:rPr>
          <w:rFonts w:ascii="Times New Roman" w:hAnsi="Times New Roman"/>
          <w:color w:val="231F20"/>
          <w:sz w:val="24"/>
        </w:rPr>
        <w:t>Ferromagnetic</w:t>
      </w:r>
      <w:r w:rsidRPr="00EE1131">
        <w:rPr>
          <w:rFonts w:ascii="Times New Roman" w:hAnsi="Times New Roman"/>
          <w:color w:val="231F20"/>
          <w:spacing w:val="14"/>
          <w:sz w:val="24"/>
        </w:rPr>
        <w:t xml:space="preserve"> </w:t>
      </w:r>
      <w:r w:rsidRPr="00EE1131">
        <w:rPr>
          <w:rFonts w:ascii="Times New Roman" w:hAnsi="Times New Roman"/>
          <w:color w:val="231F20"/>
          <w:sz w:val="24"/>
        </w:rPr>
        <w:t>graphite, upon proton irradiation (</w:t>
      </w:r>
      <w:r w:rsidRPr="00A96ECC">
        <w:rPr>
          <w:rStyle w:val="EndnoteReference"/>
          <w:sz w:val="24"/>
        </w:rPr>
        <w:endnoteReference w:id="8"/>
      </w:r>
      <w:r w:rsidRPr="00EE1131">
        <w:rPr>
          <w:rFonts w:ascii="Times New Roman" w:hAnsi="Times New Roman"/>
          <w:color w:val="231F20"/>
          <w:sz w:val="24"/>
        </w:rPr>
        <w:t>), was</w:t>
      </w:r>
      <w:r w:rsidRPr="00EE1131">
        <w:rPr>
          <w:rFonts w:ascii="Times New Roman" w:hAnsi="Times New Roman"/>
          <w:color w:val="231F20"/>
          <w:spacing w:val="30"/>
          <w:sz w:val="24"/>
        </w:rPr>
        <w:t xml:space="preserve"> </w:t>
      </w:r>
      <w:r w:rsidRPr="00EE1131">
        <w:rPr>
          <w:rFonts w:ascii="Times New Roman" w:hAnsi="Times New Roman"/>
          <w:color w:val="231F20"/>
          <w:sz w:val="24"/>
        </w:rPr>
        <w:t>difcult</w:t>
      </w:r>
      <w:r w:rsidRPr="00EE1131">
        <w:rPr>
          <w:rFonts w:ascii="Times New Roman" w:hAnsi="Times New Roman"/>
          <w:color w:val="231F20"/>
          <w:spacing w:val="24"/>
          <w:sz w:val="24"/>
        </w:rPr>
        <w:t xml:space="preserve"> </w:t>
      </w:r>
      <w:r w:rsidRPr="00EE1131">
        <w:rPr>
          <w:rFonts w:ascii="Times New Roman" w:hAnsi="Times New Roman"/>
          <w:color w:val="231F20"/>
          <w:sz w:val="24"/>
        </w:rPr>
        <w:t>to attribute to magnetic impurities,</w:t>
      </w:r>
      <w:r w:rsidRPr="00EE1131">
        <w:rPr>
          <w:rFonts w:ascii="Times New Roman" w:hAnsi="Times New Roman"/>
          <w:color w:val="231F20"/>
          <w:spacing w:val="13"/>
          <w:sz w:val="24"/>
        </w:rPr>
        <w:t xml:space="preserve"> </w:t>
      </w:r>
      <w:r w:rsidRPr="00EE1131">
        <w:rPr>
          <w:rFonts w:ascii="Times New Roman" w:hAnsi="Times New Roman"/>
          <w:color w:val="231F20"/>
          <w:sz w:val="24"/>
        </w:rPr>
        <w:t>but</w:t>
      </w:r>
      <w:r w:rsidRPr="00EE1131">
        <w:rPr>
          <w:rFonts w:ascii="Times New Roman" w:hAnsi="Times New Roman"/>
          <w:color w:val="231F20"/>
          <w:spacing w:val="3"/>
          <w:sz w:val="24"/>
        </w:rPr>
        <w:t xml:space="preserve"> </w:t>
      </w:r>
      <w:r w:rsidRPr="00EE1131">
        <w:rPr>
          <w:rFonts w:ascii="Times New Roman" w:hAnsi="Times New Roman"/>
          <w:color w:val="231F20"/>
          <w:sz w:val="24"/>
        </w:rPr>
        <w:t xml:space="preserve">was not </w:t>
      </w:r>
      <w:r w:rsidRPr="00EE1131">
        <w:rPr>
          <w:rFonts w:ascii="Times New Roman" w:hAnsi="Times New Roman"/>
          <w:color w:val="231F20"/>
          <w:sz w:val="24"/>
        </w:rPr>
        <w:lastRenderedPageBreak/>
        <w:t>well understood, owing to</w:t>
      </w:r>
      <w:r w:rsidRPr="00EE1131">
        <w:rPr>
          <w:rFonts w:ascii="Times New Roman" w:hAnsi="Times New Roman"/>
          <w:color w:val="231F20"/>
          <w:spacing w:val="20"/>
          <w:sz w:val="24"/>
        </w:rPr>
        <w:t xml:space="preserve"> </w:t>
      </w:r>
      <w:r w:rsidRPr="00EE1131">
        <w:rPr>
          <w:rFonts w:ascii="Times New Roman" w:hAnsi="Times New Roman"/>
          <w:color w:val="231F20"/>
          <w:sz w:val="24"/>
        </w:rPr>
        <w:t>the</w:t>
      </w:r>
      <w:r w:rsidRPr="00EE1131">
        <w:rPr>
          <w:rFonts w:ascii="Times New Roman" w:hAnsi="Times New Roman"/>
          <w:color w:val="231F20"/>
          <w:spacing w:val="32"/>
          <w:sz w:val="24"/>
        </w:rPr>
        <w:t xml:space="preserve"> </w:t>
      </w:r>
      <w:r w:rsidRPr="00EE1131">
        <w:rPr>
          <w:rFonts w:ascii="Times New Roman" w:hAnsi="Times New Roman"/>
          <w:color w:val="231F20"/>
          <w:sz w:val="24"/>
        </w:rPr>
        <w:t>variety of defects formed upon</w:t>
      </w:r>
      <w:r w:rsidRPr="00EE1131">
        <w:rPr>
          <w:rFonts w:ascii="Times New Roman" w:hAnsi="Times New Roman"/>
          <w:color w:val="231F20"/>
          <w:spacing w:val="5"/>
          <w:sz w:val="24"/>
        </w:rPr>
        <w:t xml:space="preserve"> </w:t>
      </w:r>
      <w:r w:rsidRPr="00EE1131">
        <w:rPr>
          <w:rFonts w:ascii="Times New Roman" w:hAnsi="Times New Roman"/>
          <w:color w:val="231F20"/>
          <w:sz w:val="24"/>
        </w:rPr>
        <w:t>high-energy</w:t>
      </w:r>
      <w:r w:rsidRPr="00EE1131">
        <w:rPr>
          <w:rFonts w:ascii="Times New Roman" w:hAnsi="Times New Roman"/>
          <w:color w:val="231F20"/>
          <w:spacing w:val="13"/>
          <w:sz w:val="24"/>
        </w:rPr>
        <w:t xml:space="preserve"> </w:t>
      </w:r>
      <w:r w:rsidRPr="00EE1131">
        <w:rPr>
          <w:rFonts w:ascii="Times New Roman" w:hAnsi="Times New Roman"/>
          <w:color w:val="231F20"/>
          <w:sz w:val="24"/>
        </w:rPr>
        <w:t>ion bombardment. Graphene was</w:t>
      </w:r>
      <w:r w:rsidRPr="00EE1131">
        <w:rPr>
          <w:rFonts w:ascii="Times New Roman" w:hAnsi="Times New Roman"/>
          <w:color w:val="231F20"/>
          <w:spacing w:val="-9"/>
          <w:sz w:val="24"/>
        </w:rPr>
        <w:t xml:space="preserve"> </w:t>
      </w:r>
      <w:r w:rsidRPr="00EE1131">
        <w:rPr>
          <w:rFonts w:ascii="Times New Roman" w:hAnsi="Times New Roman"/>
          <w:color w:val="231F20"/>
          <w:sz w:val="24"/>
        </w:rPr>
        <w:t>ﬁrst</w:t>
      </w:r>
      <w:r w:rsidRPr="00EE1131">
        <w:rPr>
          <w:rFonts w:ascii="Times New Roman" w:hAnsi="Times New Roman"/>
          <w:color w:val="231F20"/>
          <w:spacing w:val="28"/>
          <w:sz w:val="24"/>
        </w:rPr>
        <w:t xml:space="preserve"> </w:t>
      </w:r>
      <w:r w:rsidRPr="00EE1131">
        <w:rPr>
          <w:rFonts w:ascii="Times New Roman" w:hAnsi="Times New Roman"/>
          <w:color w:val="231F20"/>
          <w:sz w:val="24"/>
        </w:rPr>
        <w:t>isolated around this time as well, and</w:t>
      </w:r>
      <w:r w:rsidRPr="00EE1131">
        <w:rPr>
          <w:rFonts w:ascii="Times New Roman" w:hAnsi="Times New Roman"/>
          <w:color w:val="231F20"/>
          <w:spacing w:val="17"/>
          <w:sz w:val="24"/>
        </w:rPr>
        <w:t xml:space="preserve"> </w:t>
      </w:r>
      <w:r w:rsidRPr="00EE1131">
        <w:rPr>
          <w:rFonts w:ascii="Times New Roman" w:hAnsi="Times New Roman"/>
          <w:color w:val="231F20"/>
          <w:sz w:val="24"/>
        </w:rPr>
        <w:t>was</w:t>
      </w:r>
      <w:r w:rsidRPr="00EE1131">
        <w:rPr>
          <w:rFonts w:ascii="Times New Roman" w:hAnsi="Times New Roman"/>
          <w:color w:val="231F20"/>
          <w:spacing w:val="26"/>
          <w:sz w:val="24"/>
        </w:rPr>
        <w:t xml:space="preserve"> </w:t>
      </w:r>
      <w:r w:rsidRPr="00EE1131">
        <w:rPr>
          <w:rFonts w:ascii="Times New Roman" w:hAnsi="Times New Roman"/>
          <w:color w:val="231F20"/>
          <w:sz w:val="24"/>
        </w:rPr>
        <w:t>quickly incorporated into high-quality</w:t>
      </w:r>
      <w:r w:rsidRPr="00EE1131">
        <w:rPr>
          <w:rFonts w:ascii="Times New Roman" w:hAnsi="Times New Roman"/>
          <w:color w:val="231F20"/>
          <w:spacing w:val="26"/>
          <w:sz w:val="24"/>
        </w:rPr>
        <w:t xml:space="preserve"> </w:t>
      </w:r>
      <w:r w:rsidRPr="00EE1131">
        <w:rPr>
          <w:rFonts w:ascii="Times New Roman" w:hAnsi="Times New Roman"/>
          <w:color w:val="231F20"/>
          <w:sz w:val="24"/>
        </w:rPr>
        <w:t>spin</w:t>
      </w:r>
      <w:r w:rsidRPr="00EE1131">
        <w:rPr>
          <w:rFonts w:ascii="Times New Roman" w:hAnsi="Times New Roman"/>
          <w:color w:val="231F20"/>
          <w:spacing w:val="8"/>
          <w:sz w:val="24"/>
        </w:rPr>
        <w:t xml:space="preserve"> </w:t>
      </w:r>
      <w:r w:rsidRPr="00EE1131">
        <w:rPr>
          <w:rFonts w:ascii="Times New Roman" w:hAnsi="Times New Roman"/>
          <w:color w:val="231F20"/>
          <w:sz w:val="24"/>
        </w:rPr>
        <w:t>valve devices, analogous to those used</w:t>
      </w:r>
      <w:r w:rsidRPr="00EE1131">
        <w:rPr>
          <w:rFonts w:ascii="Times New Roman" w:hAnsi="Times New Roman"/>
          <w:color w:val="231F20"/>
          <w:spacing w:val="37"/>
          <w:sz w:val="24"/>
        </w:rPr>
        <w:t xml:space="preserve"> </w:t>
      </w:r>
      <w:r w:rsidRPr="00EE1131">
        <w:rPr>
          <w:rFonts w:ascii="Times New Roman" w:hAnsi="Times New Roman"/>
          <w:color w:val="231F20"/>
          <w:sz w:val="24"/>
        </w:rPr>
        <w:t>in</w:t>
      </w:r>
      <w:r w:rsidRPr="00EE1131">
        <w:rPr>
          <w:rFonts w:ascii="Times New Roman" w:hAnsi="Times New Roman"/>
          <w:color w:val="231F20"/>
          <w:spacing w:val="44"/>
          <w:sz w:val="24"/>
        </w:rPr>
        <w:t xml:space="preserve"> </w:t>
      </w:r>
      <w:r w:rsidRPr="00EE1131">
        <w:rPr>
          <w:rFonts w:ascii="Times New Roman" w:hAnsi="Times New Roman"/>
          <w:color w:val="231F20"/>
          <w:sz w:val="24"/>
        </w:rPr>
        <w:t>hard disk drives. Such devices</w:t>
      </w:r>
      <w:r w:rsidRPr="00EE1131">
        <w:rPr>
          <w:rFonts w:ascii="Times New Roman" w:hAnsi="Times New Roman"/>
          <w:color w:val="231F20"/>
          <w:spacing w:val="9"/>
          <w:sz w:val="24"/>
        </w:rPr>
        <w:t xml:space="preserve"> </w:t>
      </w:r>
      <w:r w:rsidRPr="00EE1131">
        <w:rPr>
          <w:rFonts w:ascii="Times New Roman" w:hAnsi="Times New Roman"/>
          <w:color w:val="231F20"/>
          <w:sz w:val="24"/>
        </w:rPr>
        <w:t>provided</w:t>
      </w:r>
      <w:r w:rsidRPr="00EE1131">
        <w:rPr>
          <w:rFonts w:ascii="Times New Roman" w:hAnsi="Times New Roman"/>
          <w:color w:val="231F20"/>
          <w:spacing w:val="2"/>
          <w:sz w:val="24"/>
        </w:rPr>
        <w:t xml:space="preserve"> </w:t>
      </w:r>
      <w:r w:rsidRPr="00EE1131">
        <w:rPr>
          <w:rFonts w:ascii="Times New Roman" w:hAnsi="Times New Roman"/>
          <w:color w:val="231F20"/>
          <w:sz w:val="24"/>
        </w:rPr>
        <w:t>additional evidence for magnetic carbon,</w:t>
      </w:r>
      <w:r w:rsidRPr="00EE1131">
        <w:rPr>
          <w:rFonts w:ascii="Times New Roman" w:hAnsi="Times New Roman"/>
          <w:color w:val="231F20"/>
          <w:spacing w:val="-14"/>
          <w:sz w:val="24"/>
        </w:rPr>
        <w:t xml:space="preserve"> </w:t>
      </w:r>
      <w:r w:rsidRPr="00EE1131">
        <w:rPr>
          <w:rFonts w:ascii="Times New Roman" w:hAnsi="Times New Roman"/>
          <w:color w:val="231F20"/>
          <w:sz w:val="24"/>
        </w:rPr>
        <w:t>as</w:t>
      </w:r>
      <w:r w:rsidRPr="00EE1131">
        <w:rPr>
          <w:rFonts w:ascii="Times New Roman" w:hAnsi="Times New Roman"/>
          <w:color w:val="231F20"/>
          <w:spacing w:val="34"/>
          <w:sz w:val="24"/>
        </w:rPr>
        <w:t xml:space="preserve"> </w:t>
      </w:r>
      <w:r w:rsidRPr="00EE1131">
        <w:rPr>
          <w:rFonts w:ascii="Times New Roman" w:hAnsi="Times New Roman"/>
          <w:color w:val="231F20"/>
          <w:sz w:val="24"/>
        </w:rPr>
        <w:t>a signature of spin scattering</w:t>
      </w:r>
      <w:r w:rsidRPr="00EE1131">
        <w:rPr>
          <w:rFonts w:ascii="Times New Roman" w:hAnsi="Times New Roman"/>
          <w:color w:val="231F20"/>
          <w:spacing w:val="16"/>
          <w:sz w:val="24"/>
        </w:rPr>
        <w:t xml:space="preserve"> </w:t>
      </w:r>
      <w:r w:rsidRPr="00EE1131">
        <w:rPr>
          <w:rFonts w:ascii="Times New Roman" w:hAnsi="Times New Roman"/>
          <w:color w:val="231F20"/>
          <w:sz w:val="24"/>
        </w:rPr>
        <w:t>was</w:t>
      </w:r>
      <w:r w:rsidRPr="00EE1131">
        <w:rPr>
          <w:rFonts w:ascii="Times New Roman" w:hAnsi="Times New Roman"/>
          <w:color w:val="231F20"/>
          <w:spacing w:val="39"/>
          <w:sz w:val="24"/>
        </w:rPr>
        <w:t xml:space="preserve"> </w:t>
      </w:r>
      <w:r w:rsidRPr="00EE1131">
        <w:rPr>
          <w:rFonts w:ascii="Times New Roman" w:hAnsi="Times New Roman"/>
          <w:color w:val="231F20"/>
          <w:sz w:val="24"/>
        </w:rPr>
        <w:t>observed due to magnetic moments</w:t>
      </w:r>
      <w:r>
        <w:rPr>
          <w:rFonts w:ascii="Times New Roman" w:hAnsi="Times New Roman"/>
          <w:color w:val="231F20"/>
          <w:sz w:val="24"/>
        </w:rPr>
        <w:t xml:space="preserve"> </w:t>
      </w:r>
      <w:r w:rsidRPr="00EE1131">
        <w:rPr>
          <w:rFonts w:ascii="Times New Roman" w:hAnsi="Times New Roman"/>
          <w:color w:val="231F20"/>
          <w:sz w:val="24"/>
        </w:rPr>
        <w:t>formed</w:t>
      </w:r>
      <w:r>
        <w:rPr>
          <w:rFonts w:ascii="Times New Roman" w:hAnsi="Times New Roman"/>
          <w:color w:val="231F20"/>
          <w:sz w:val="24"/>
        </w:rPr>
        <w:t xml:space="preserve"> </w:t>
      </w:r>
      <w:r w:rsidRPr="00EE1131">
        <w:rPr>
          <w:rFonts w:ascii="Times New Roman" w:hAnsi="Times New Roman"/>
          <w:color w:val="231F20"/>
          <w:sz w:val="24"/>
        </w:rPr>
        <w:t>when the graphene was exposed to</w:t>
      </w:r>
      <w:r w:rsidRPr="00EE1131">
        <w:rPr>
          <w:rFonts w:ascii="Times New Roman" w:hAnsi="Times New Roman"/>
          <w:color w:val="231F20"/>
          <w:spacing w:val="4"/>
          <w:sz w:val="24"/>
        </w:rPr>
        <w:t xml:space="preserve"> </w:t>
      </w:r>
      <w:r w:rsidRPr="00EE1131">
        <w:rPr>
          <w:rFonts w:ascii="Times New Roman" w:hAnsi="Times New Roman"/>
          <w:color w:val="231F20"/>
          <w:sz w:val="24"/>
        </w:rPr>
        <w:t>hydrogen</w:t>
      </w:r>
      <w:r w:rsidRPr="00EE1131">
        <w:rPr>
          <w:rFonts w:ascii="Times New Roman" w:hAnsi="Times New Roman"/>
          <w:color w:val="231F20"/>
          <w:spacing w:val="28"/>
          <w:sz w:val="24"/>
        </w:rPr>
        <w:t xml:space="preserve"> </w:t>
      </w:r>
      <w:r w:rsidRPr="00EE1131">
        <w:rPr>
          <w:rFonts w:ascii="Times New Roman" w:hAnsi="Times New Roman"/>
          <w:color w:val="231F20"/>
          <w:sz w:val="24"/>
        </w:rPr>
        <w:t>or bombarded to create vacancies</w:t>
      </w:r>
      <w:r w:rsidRPr="00EE1131">
        <w:rPr>
          <w:rFonts w:ascii="Times New Roman" w:hAnsi="Times New Roman"/>
          <w:color w:val="231F20"/>
          <w:spacing w:val="-12"/>
          <w:sz w:val="24"/>
        </w:rPr>
        <w:t xml:space="preserve"> </w:t>
      </w:r>
      <w:r w:rsidRPr="00EE1131">
        <w:rPr>
          <w:rFonts w:ascii="Times New Roman" w:hAnsi="Times New Roman"/>
          <w:color w:val="231F20"/>
          <w:sz w:val="24"/>
        </w:rPr>
        <w:t>(</w:t>
      </w:r>
      <w:r w:rsidRPr="00A96ECC">
        <w:rPr>
          <w:rStyle w:val="EndnoteReference"/>
          <w:sz w:val="24"/>
        </w:rPr>
        <w:endnoteReference w:id="9"/>
      </w:r>
      <w:r w:rsidRPr="00EE1131">
        <w:rPr>
          <w:rFonts w:ascii="Times New Roman" w:hAnsi="Times New Roman"/>
          <w:color w:val="231F20"/>
          <w:sz w:val="24"/>
        </w:rPr>
        <w:t>).</w:t>
      </w:r>
      <w:r w:rsidRPr="00EE1131">
        <w:rPr>
          <w:rFonts w:ascii="Times New Roman" w:hAnsi="Times New Roman"/>
          <w:color w:val="231F20"/>
          <w:spacing w:val="32"/>
          <w:sz w:val="24"/>
        </w:rPr>
        <w:t xml:space="preserve"> </w:t>
      </w:r>
      <w:r w:rsidRPr="00EE1131">
        <w:rPr>
          <w:rFonts w:ascii="Times New Roman" w:hAnsi="Times New Roman"/>
          <w:color w:val="231F20"/>
          <w:sz w:val="24"/>
        </w:rPr>
        <w:t>These results were consistent</w:t>
      </w:r>
      <w:r w:rsidRPr="00EE1131">
        <w:rPr>
          <w:rFonts w:ascii="Times New Roman" w:hAnsi="Times New Roman"/>
          <w:color w:val="231F20"/>
          <w:spacing w:val="9"/>
          <w:sz w:val="24"/>
        </w:rPr>
        <w:t xml:space="preserve"> </w:t>
      </w:r>
      <w:r w:rsidRPr="00EE1131">
        <w:rPr>
          <w:rFonts w:ascii="Times New Roman" w:hAnsi="Times New Roman"/>
          <w:color w:val="231F20"/>
          <w:sz w:val="24"/>
        </w:rPr>
        <w:t>with</w:t>
      </w:r>
      <w:r w:rsidRPr="00EE1131">
        <w:rPr>
          <w:rFonts w:ascii="Times New Roman" w:hAnsi="Times New Roman"/>
          <w:color w:val="231F20"/>
          <w:spacing w:val="18"/>
          <w:sz w:val="24"/>
        </w:rPr>
        <w:t xml:space="preserve"> </w:t>
      </w:r>
      <w:r w:rsidRPr="00EE1131">
        <w:rPr>
          <w:rFonts w:ascii="Times New Roman" w:hAnsi="Times New Roman"/>
          <w:color w:val="231F20"/>
          <w:sz w:val="24"/>
        </w:rPr>
        <w:t>magnetometry measurements that showed</w:t>
      </w:r>
      <w:r w:rsidRPr="00EE1131">
        <w:rPr>
          <w:rFonts w:ascii="Times New Roman" w:hAnsi="Times New Roman"/>
          <w:color w:val="231F20"/>
          <w:spacing w:val="28"/>
          <w:sz w:val="24"/>
        </w:rPr>
        <w:t xml:space="preserve"> </w:t>
      </w:r>
      <w:r w:rsidRPr="00EE1131">
        <w:rPr>
          <w:rFonts w:ascii="Times New Roman" w:hAnsi="Times New Roman"/>
          <w:color w:val="231F20"/>
          <w:sz w:val="24"/>
        </w:rPr>
        <w:t>evidence</w:t>
      </w:r>
      <w:r w:rsidRPr="00EE1131">
        <w:rPr>
          <w:rFonts w:ascii="Times New Roman" w:hAnsi="Times New Roman"/>
          <w:color w:val="231F20"/>
          <w:spacing w:val="25"/>
          <w:sz w:val="24"/>
        </w:rPr>
        <w:t xml:space="preserve"> </w:t>
      </w:r>
      <w:r w:rsidRPr="00EE1131">
        <w:rPr>
          <w:rFonts w:ascii="Times New Roman" w:hAnsi="Times New Roman"/>
          <w:color w:val="231F20"/>
          <w:sz w:val="24"/>
        </w:rPr>
        <w:t>for paramagnetism (</w:t>
      </w:r>
      <w:r w:rsidRPr="00A96ECC">
        <w:rPr>
          <w:rStyle w:val="EndnoteReference"/>
          <w:sz w:val="24"/>
        </w:rPr>
        <w:endnoteReference w:id="10"/>
      </w:r>
      <w:r w:rsidRPr="00760AF3">
        <w:rPr>
          <w:rFonts w:ascii="Times New Roman" w:hAnsi="Times New Roman"/>
          <w:color w:val="231F20"/>
          <w:sz w:val="24"/>
        </w:rPr>
        <w:t>)</w:t>
      </w:r>
      <w:r w:rsidRPr="00EE1131">
        <w:rPr>
          <w:rFonts w:ascii="Times New Roman" w:hAnsi="Times New Roman"/>
          <w:color w:val="231F20"/>
          <w:sz w:val="24"/>
        </w:rPr>
        <w:t>. However,</w:t>
      </w:r>
      <w:r w:rsidRPr="00EE1131">
        <w:rPr>
          <w:rFonts w:ascii="Times New Roman" w:hAnsi="Times New Roman"/>
          <w:color w:val="231F20"/>
          <w:spacing w:val="31"/>
          <w:sz w:val="24"/>
        </w:rPr>
        <w:t xml:space="preserve"> </w:t>
      </w:r>
      <w:r w:rsidRPr="00EE1131">
        <w:rPr>
          <w:rFonts w:ascii="Times New Roman" w:hAnsi="Times New Roman"/>
          <w:color w:val="231F20"/>
          <w:sz w:val="24"/>
        </w:rPr>
        <w:t>neither</w:t>
      </w:r>
      <w:r w:rsidRPr="00EE1131">
        <w:rPr>
          <w:rFonts w:ascii="Times New Roman" w:hAnsi="Times New Roman"/>
          <w:color w:val="231F20"/>
          <w:spacing w:val="41"/>
          <w:sz w:val="24"/>
        </w:rPr>
        <w:t xml:space="preserve"> </w:t>
      </w:r>
      <w:r w:rsidRPr="00EE1131">
        <w:rPr>
          <w:rFonts w:ascii="Times New Roman" w:hAnsi="Times New Roman"/>
          <w:color w:val="231F20"/>
          <w:sz w:val="24"/>
        </w:rPr>
        <w:t>of these approaches were able to</w:t>
      </w:r>
      <w:r w:rsidRPr="00EE1131">
        <w:rPr>
          <w:rFonts w:ascii="Times New Roman" w:hAnsi="Times New Roman"/>
          <w:color w:val="231F20"/>
          <w:spacing w:val="33"/>
          <w:sz w:val="24"/>
        </w:rPr>
        <w:t xml:space="preserve"> </w:t>
      </w:r>
      <w:r w:rsidRPr="00EE1131">
        <w:rPr>
          <w:rFonts w:ascii="Times New Roman" w:hAnsi="Times New Roman"/>
          <w:color w:val="231F20"/>
          <w:sz w:val="24"/>
        </w:rPr>
        <w:t>observe</w:t>
      </w:r>
      <w:r w:rsidRPr="00EE1131">
        <w:rPr>
          <w:rFonts w:ascii="Times New Roman" w:hAnsi="Times New Roman"/>
          <w:color w:val="231F20"/>
          <w:spacing w:val="16"/>
          <w:sz w:val="24"/>
        </w:rPr>
        <w:t xml:space="preserve"> </w:t>
      </w:r>
      <w:r w:rsidRPr="00EE1131">
        <w:rPr>
          <w:rFonts w:ascii="Times New Roman" w:hAnsi="Times New Roman"/>
          <w:color w:val="231F20"/>
          <w:sz w:val="24"/>
        </w:rPr>
        <w:t>ferromagnetism, and the atomic origin</w:t>
      </w:r>
      <w:r w:rsidRPr="00EE1131">
        <w:rPr>
          <w:rFonts w:ascii="Times New Roman" w:hAnsi="Times New Roman"/>
          <w:color w:val="231F20"/>
          <w:spacing w:val="16"/>
          <w:sz w:val="24"/>
        </w:rPr>
        <w:t xml:space="preserve"> </w:t>
      </w:r>
      <w:r w:rsidRPr="00EE1131">
        <w:rPr>
          <w:rFonts w:ascii="Times New Roman" w:hAnsi="Times New Roman"/>
          <w:color w:val="231F20"/>
          <w:sz w:val="24"/>
        </w:rPr>
        <w:t>of</w:t>
      </w:r>
      <w:r w:rsidRPr="00EE1131">
        <w:rPr>
          <w:rFonts w:ascii="Times New Roman" w:hAnsi="Times New Roman"/>
          <w:color w:val="231F20"/>
          <w:spacing w:val="21"/>
          <w:sz w:val="24"/>
        </w:rPr>
        <w:t xml:space="preserve"> </w:t>
      </w:r>
      <w:r w:rsidRPr="00EE1131">
        <w:rPr>
          <w:rFonts w:ascii="Times New Roman" w:hAnsi="Times New Roman"/>
          <w:color w:val="231F20"/>
          <w:sz w:val="24"/>
        </w:rPr>
        <w:t>the moments could not be</w:t>
      </w:r>
      <w:r w:rsidRPr="00EE1131">
        <w:rPr>
          <w:rFonts w:ascii="Times New Roman" w:hAnsi="Times New Roman"/>
          <w:color w:val="231F20"/>
          <w:spacing w:val="2"/>
          <w:sz w:val="24"/>
        </w:rPr>
        <w:t xml:space="preserve"> </w:t>
      </w:r>
      <w:r w:rsidRPr="00EE1131">
        <w:rPr>
          <w:rFonts w:ascii="Times New Roman" w:hAnsi="Times New Roman"/>
          <w:color w:val="231F20"/>
          <w:sz w:val="24"/>
        </w:rPr>
        <w:t>directly</w:t>
      </w:r>
      <w:r w:rsidRPr="00EE1131">
        <w:rPr>
          <w:rFonts w:ascii="Times New Roman" w:hAnsi="Times New Roman"/>
          <w:color w:val="231F20"/>
          <w:spacing w:val="12"/>
          <w:sz w:val="24"/>
        </w:rPr>
        <w:t xml:space="preserve"> </w:t>
      </w:r>
      <w:r w:rsidRPr="00EE1131">
        <w:rPr>
          <w:rFonts w:ascii="Times New Roman" w:hAnsi="Times New Roman"/>
          <w:color w:val="231F20"/>
          <w:sz w:val="24"/>
        </w:rPr>
        <w:t xml:space="preserve">determined. González-Herrero </w:t>
      </w:r>
      <w:r w:rsidRPr="00EE1131">
        <w:rPr>
          <w:rFonts w:ascii="Times New Roman" w:hAnsi="Times New Roman"/>
          <w:i/>
          <w:color w:val="231F20"/>
          <w:sz w:val="24"/>
        </w:rPr>
        <w:t xml:space="preserve">et al. </w:t>
      </w:r>
      <w:r w:rsidRPr="00EE1131">
        <w:rPr>
          <w:rFonts w:ascii="Times New Roman" w:hAnsi="Times New Roman"/>
          <w:color w:val="231F20"/>
          <w:sz w:val="24"/>
        </w:rPr>
        <w:t>study</w:t>
      </w:r>
      <w:r w:rsidRPr="00EE1131">
        <w:rPr>
          <w:rFonts w:ascii="Times New Roman" w:hAnsi="Times New Roman"/>
          <w:color w:val="231F20"/>
          <w:spacing w:val="-7"/>
          <w:sz w:val="24"/>
        </w:rPr>
        <w:t xml:space="preserve"> </w:t>
      </w:r>
      <w:r w:rsidRPr="00EE1131">
        <w:rPr>
          <w:rFonts w:ascii="Times New Roman" w:hAnsi="Times New Roman"/>
          <w:color w:val="231F20"/>
          <w:sz w:val="24"/>
        </w:rPr>
        <w:t>one</w:t>
      </w:r>
      <w:r w:rsidRPr="00EE1131">
        <w:rPr>
          <w:rFonts w:ascii="Times New Roman" w:hAnsi="Times New Roman"/>
          <w:color w:val="231F20"/>
          <w:spacing w:val="32"/>
          <w:sz w:val="24"/>
        </w:rPr>
        <w:t xml:space="preserve"> </w:t>
      </w:r>
      <w:r w:rsidRPr="00EE1131">
        <w:rPr>
          <w:rFonts w:ascii="Times New Roman" w:hAnsi="Times New Roman"/>
          <w:color w:val="231F20"/>
          <w:sz w:val="24"/>
        </w:rPr>
        <w:t>fundamen</w:t>
      </w:r>
      <w:r w:rsidRPr="00F816D6">
        <w:rPr>
          <w:rFonts w:ascii="Times New Roman" w:hAnsi="Times New Roman"/>
          <w:color w:val="231F20"/>
          <w:sz w:val="24"/>
        </w:rPr>
        <w:t>tal building block of this magnetic state—namely, individual hydrogen adatoms and dimers with controlled sublattice site and spacing. Graphene growth, hydrogenation, and characterization were all performed in the same ultrahigh-vacuum chamber, which was critical in overcoming shortcomings of prior approaches. Few</w:t>
      </w:r>
      <w:r>
        <w:rPr>
          <w:rFonts w:ascii="Times New Roman" w:hAnsi="Times New Roman"/>
          <w:color w:val="231F20"/>
          <w:sz w:val="24"/>
        </w:rPr>
        <w:t xml:space="preserve"> </w:t>
      </w:r>
      <w:r w:rsidRPr="00F816D6">
        <w:rPr>
          <w:rFonts w:ascii="Times New Roman" w:hAnsi="Times New Roman"/>
          <w:color w:val="231F20"/>
          <w:sz w:val="24"/>
        </w:rPr>
        <w:t>layer graphene was grown by heating a SiC single crystal, thus minimizing the possibility of magnetic impurities or contamination from the environment. Relatively low-energy atomic hydrogen from thermal cracking of H</w:t>
      </w:r>
      <w:r w:rsidRPr="00607A7F">
        <w:rPr>
          <w:rFonts w:ascii="Times New Roman" w:hAnsi="Times New Roman"/>
          <w:color w:val="231F20"/>
          <w:sz w:val="24"/>
          <w:vertAlign w:val="subscript"/>
        </w:rPr>
        <w:t>2</w:t>
      </w:r>
      <w:r w:rsidRPr="00F816D6">
        <w:rPr>
          <w:rFonts w:ascii="Times New Roman" w:hAnsi="Times New Roman"/>
          <w:color w:val="231F20"/>
          <w:sz w:val="24"/>
        </w:rPr>
        <w:t xml:space="preserve"> yielded a low surface coverage of a single class of defect, rather than the variety of defects and complexes produced by high-energy ion irradiation. Lastly, in situ scanning tunneling microscopy (STM) was used to characterize the quality of the sample before and after hydrogenation and to directly probe the electronic states associated with individual hydrogen atoms on the surface. This method avoids the ensemble averaging typical of more conventional magnetic characterization techniques.</w:t>
      </w:r>
    </w:p>
    <w:p w:rsidR="00266F52" w:rsidRPr="00F816D6" w:rsidRDefault="00266F52" w:rsidP="00760AF3">
      <w:pPr>
        <w:pStyle w:val="BodyText"/>
        <w:ind w:firstLine="180"/>
        <w:jc w:val="both"/>
        <w:rPr>
          <w:sz w:val="24"/>
        </w:rPr>
      </w:pPr>
      <w:r w:rsidRPr="00F816D6">
        <w:rPr>
          <w:color w:val="231F20"/>
          <w:sz w:val="24"/>
        </w:rPr>
        <w:t xml:space="preserve">To prove that the hydrogen adatoms were magnetic, the authors drew insight from the Anderson model of impurity magnetism, a model that predicts sensitivity to doping. This was observed by the collapse of a spin-split doublet of states into a single state, upon n-type or p-type doping of the graphene. More quantitative density functional theory (DFT) calculations validated this interpretation and provided insight into magnetic ordering between adatoms. Experimentally, González-Herrero </w:t>
      </w:r>
      <w:r w:rsidRPr="00F816D6">
        <w:rPr>
          <w:i/>
          <w:color w:val="231F20"/>
          <w:sz w:val="24"/>
        </w:rPr>
        <w:t xml:space="preserve">et al. </w:t>
      </w:r>
      <w:r w:rsidRPr="00F816D6">
        <w:rPr>
          <w:color w:val="231F20"/>
          <w:sz w:val="24"/>
        </w:rPr>
        <w:t>were able to directly probe interactions by using STM atomic manipulation to form hydrogen dimers with varying spacing and sublattice site. As explained by the DFT calculations, and realized experimentally, dimers on the same sublattice create an imbalance and order ferromagnetically, whereas dimers on opposing sublattices maintain the balance and are nonmagnetic. These interactions persist at relatively large separations compared to conventional magnets based on more localized atomic orbitals.</w:t>
      </w:r>
    </w:p>
    <w:p w:rsidR="00266F52" w:rsidRPr="00F816D6" w:rsidRDefault="00266F52" w:rsidP="00760AF3">
      <w:pPr>
        <w:pStyle w:val="BodyText"/>
        <w:ind w:firstLine="180"/>
        <w:jc w:val="both"/>
        <w:rPr>
          <w:color w:val="231F20"/>
          <w:sz w:val="24"/>
        </w:rPr>
      </w:pPr>
      <w:r w:rsidRPr="00F816D6">
        <w:rPr>
          <w:color w:val="231F20"/>
          <w:sz w:val="24"/>
        </w:rPr>
        <w:t>There are several key challenges toward realizing robust magnetic graphene for applications. First, the sensitivity of the magnetic state to doping o</w:t>
      </w:r>
      <w:r w:rsidR="00A96ECC">
        <w:rPr>
          <w:color w:val="231F20"/>
          <w:sz w:val="24"/>
        </w:rPr>
        <w:t>ff</w:t>
      </w:r>
      <w:r w:rsidRPr="00F816D6">
        <w:rPr>
          <w:color w:val="231F20"/>
          <w:sz w:val="24"/>
        </w:rPr>
        <w:t>ers the opportunity for control with a gate electrode, but may be problematic in typical graphene devices, where charged impurities in a SiO</w:t>
      </w:r>
      <w:r w:rsidRPr="00607A7F">
        <w:rPr>
          <w:color w:val="231F20"/>
          <w:sz w:val="24"/>
          <w:vertAlign w:val="subscript"/>
        </w:rPr>
        <w:t>2</w:t>
      </w:r>
      <w:r w:rsidRPr="00F816D6">
        <w:rPr>
          <w:color w:val="231F20"/>
          <w:sz w:val="24"/>
        </w:rPr>
        <w:t xml:space="preserve"> substrate create random puddles of n- and p-doping. Future work could probe whether wide band-gap graphane is as vulnerable to charge puddles, or reduce their inﬂuence through sandwich structures of other 2D materials, such as boron nitride. Second, although longer-range magnetic ordering is promising, it also places a premium on control over the hydrogen adsorption site. This atomic-scale precision is very difﬁcult to realize on a large scale, though preferential adsorption may be possible by breaking the degeneracy of the sublattices through interactions with other graphene layers or other 2D materials in close registry. Ferromagnetic ordering above room temperature has been predicted for magnetic graphene, but it remains to be seen if this target can be realized experimentally. If these challenges can be met while preserving the intrinsic quality of graphene for electron and spin transport, then graphene may indeed become a leading candidate material in the roadmap for next-generation information technologies based on electron spin.</w:t>
      </w:r>
    </w:p>
    <w:bookmarkEnd w:id="0"/>
    <w:p w:rsidR="00266F52" w:rsidRDefault="00266F52" w:rsidP="00760AF3">
      <w:pPr>
        <w:pStyle w:val="BodyText"/>
        <w:spacing w:before="1"/>
        <w:ind w:left="140"/>
        <w:rPr>
          <w:b/>
          <w:sz w:val="24"/>
        </w:rPr>
      </w:pPr>
    </w:p>
    <w:p w:rsidR="00266F52" w:rsidRDefault="00266F52">
      <w:pPr>
        <w:rPr>
          <w:b/>
          <w:i/>
          <w:color w:val="231F20"/>
          <w:spacing w:val="-19"/>
          <w:sz w:val="56"/>
        </w:rPr>
        <w:sectPr w:rsidR="00266F52" w:rsidSect="00760AF3">
          <w:endnotePr>
            <w:numFmt w:val="decimal"/>
            <w:numRestart w:val="eachSect"/>
          </w:endnotePr>
          <w:pgSz w:w="11906" w:h="16838"/>
          <w:pgMar w:top="500" w:right="500" w:bottom="500" w:left="500" w:header="708" w:footer="708" w:gutter="0"/>
          <w:cols w:space="708"/>
          <w:docGrid w:linePitch="360"/>
        </w:sectPr>
      </w:pPr>
      <w:r w:rsidRPr="0034540E">
        <w:rPr>
          <w:rFonts w:ascii="Times New Roman" w:hAnsi="Times New Roman"/>
          <w:b/>
          <w:color w:val="231F20"/>
          <w:sz w:val="24"/>
        </w:rPr>
        <w:t>REFERENCES</w:t>
      </w:r>
    </w:p>
    <w:p w:rsidR="00645FF7" w:rsidRDefault="00645FF7" w:rsidP="00760AF3">
      <w:pPr>
        <w:spacing w:line="560" w:lineRule="exact"/>
        <w:ind w:left="154"/>
        <w:rPr>
          <w:b/>
          <w:i/>
          <w:sz w:val="56"/>
        </w:rPr>
      </w:pPr>
      <w:r>
        <w:rPr>
          <w:b/>
          <w:i/>
          <w:color w:val="231F20"/>
          <w:spacing w:val="-19"/>
          <w:sz w:val="56"/>
        </w:rPr>
        <w:lastRenderedPageBreak/>
        <w:t xml:space="preserve">Toward </w:t>
      </w:r>
      <w:r>
        <w:rPr>
          <w:b/>
          <w:i/>
          <w:color w:val="231F20"/>
          <w:spacing w:val="-8"/>
          <w:sz w:val="56"/>
        </w:rPr>
        <w:t>single-</w:t>
      </w:r>
      <w:r>
        <w:rPr>
          <w:b/>
          <w:i/>
          <w:color w:val="231F20"/>
          <w:spacing w:val="-9"/>
          <w:sz w:val="56"/>
        </w:rPr>
        <w:t xml:space="preserve">atom </w:t>
      </w:r>
      <w:r>
        <w:rPr>
          <w:b/>
          <w:i/>
          <w:color w:val="231F20"/>
          <w:spacing w:val="-4"/>
          <w:sz w:val="56"/>
        </w:rPr>
        <w:t>memory</w:t>
      </w:r>
    </w:p>
    <w:p w:rsidR="00645FF7" w:rsidRPr="00956EB2" w:rsidRDefault="00645FF7" w:rsidP="00760AF3">
      <w:pPr>
        <w:spacing w:line="320" w:lineRule="exact"/>
        <w:ind w:left="144" w:right="1382"/>
        <w:jc w:val="both"/>
        <w:rPr>
          <w:rFonts w:ascii="Franklin Gothic Book" w:eastAsia="PMingLiU" w:hAnsi="Franklin Gothic Book"/>
          <w:sz w:val="30"/>
        </w:rPr>
      </w:pPr>
      <w:r w:rsidRPr="00956EB2">
        <w:rPr>
          <w:rFonts w:ascii="Franklin Gothic Book" w:eastAsia="PMingLiU" w:hAnsi="Franklin Gothic Book"/>
          <w:color w:val="4C4C4E"/>
          <w:sz w:val="30"/>
        </w:rPr>
        <w:t>Single</w:t>
      </w:r>
      <w:r w:rsidRPr="00956EB2">
        <w:rPr>
          <w:rFonts w:ascii="Franklin Gothic Book" w:eastAsia="PMingLiU" w:hAnsi="Franklin Gothic Book"/>
          <w:color w:val="4C4C4E"/>
          <w:spacing w:val="-47"/>
          <w:sz w:val="30"/>
        </w:rPr>
        <w:t xml:space="preserve"> </w:t>
      </w:r>
      <w:r w:rsidRPr="00956EB2">
        <w:rPr>
          <w:rFonts w:ascii="Franklin Gothic Book" w:eastAsia="PMingLiU" w:hAnsi="Franklin Gothic Book"/>
          <w:color w:val="4C4C4E"/>
          <w:sz w:val="30"/>
        </w:rPr>
        <w:t>holmium</w:t>
      </w:r>
      <w:r w:rsidRPr="00956EB2">
        <w:rPr>
          <w:rFonts w:ascii="Franklin Gothic Book" w:eastAsia="PMingLiU" w:hAnsi="Franklin Gothic Book"/>
          <w:color w:val="4C4C4E"/>
          <w:spacing w:val="-47"/>
          <w:sz w:val="30"/>
        </w:rPr>
        <w:t xml:space="preserve"> </w:t>
      </w:r>
      <w:r w:rsidRPr="00956EB2">
        <w:rPr>
          <w:rFonts w:ascii="Franklin Gothic Book" w:eastAsia="PMingLiU" w:hAnsi="Franklin Gothic Book"/>
          <w:color w:val="4C4C4E"/>
          <w:sz w:val="30"/>
        </w:rPr>
        <w:t>atoms can</w:t>
      </w:r>
      <w:r w:rsidRPr="00956EB2">
        <w:rPr>
          <w:rFonts w:ascii="Franklin Gothic Book" w:eastAsia="PMingLiU" w:hAnsi="Franklin Gothic Book"/>
          <w:color w:val="4C4C4E"/>
          <w:spacing w:val="-17"/>
          <w:sz w:val="30"/>
        </w:rPr>
        <w:t xml:space="preserve"> </w:t>
      </w:r>
      <w:r w:rsidRPr="00956EB2">
        <w:rPr>
          <w:rFonts w:ascii="Franklin Gothic Book" w:eastAsia="PMingLiU" w:hAnsi="Franklin Gothic Book"/>
          <w:color w:val="4C4C4E"/>
          <w:sz w:val="30"/>
        </w:rPr>
        <w:t>be</w:t>
      </w:r>
      <w:r w:rsidRPr="00956EB2">
        <w:rPr>
          <w:rFonts w:ascii="Franklin Gothic Book" w:eastAsia="PMingLiU" w:hAnsi="Franklin Gothic Book"/>
          <w:color w:val="4C4C4E"/>
          <w:spacing w:val="-17"/>
          <w:sz w:val="30"/>
        </w:rPr>
        <w:t xml:space="preserve"> </w:t>
      </w:r>
      <w:r w:rsidRPr="00956EB2">
        <w:rPr>
          <w:rFonts w:ascii="Franklin Gothic Book" w:eastAsia="PMingLiU" w:hAnsi="Franklin Gothic Book"/>
          <w:color w:val="4C4C4E"/>
          <w:sz w:val="30"/>
        </w:rPr>
        <w:t>used</w:t>
      </w:r>
      <w:r w:rsidRPr="00956EB2">
        <w:rPr>
          <w:rFonts w:ascii="Franklin Gothic Book" w:eastAsia="PMingLiU" w:hAnsi="Franklin Gothic Book"/>
          <w:color w:val="4C4C4E"/>
          <w:spacing w:val="-17"/>
          <w:sz w:val="30"/>
        </w:rPr>
        <w:t xml:space="preserve"> </w:t>
      </w:r>
      <w:r w:rsidRPr="00956EB2">
        <w:rPr>
          <w:rFonts w:ascii="Franklin Gothic Book" w:eastAsia="PMingLiU" w:hAnsi="Franklin Gothic Book"/>
          <w:color w:val="4C4C4E"/>
          <w:sz w:val="30"/>
        </w:rPr>
        <w:t>as</w:t>
      </w:r>
      <w:r w:rsidRPr="00956EB2">
        <w:rPr>
          <w:rFonts w:ascii="Franklin Gothic Book" w:eastAsia="PMingLiU" w:hAnsi="Franklin Gothic Book"/>
          <w:color w:val="4C4C4E"/>
          <w:spacing w:val="-17"/>
          <w:sz w:val="30"/>
        </w:rPr>
        <w:t xml:space="preserve"> </w:t>
      </w:r>
      <w:r w:rsidRPr="00956EB2">
        <w:rPr>
          <w:rFonts w:ascii="Franklin Gothic Book" w:eastAsia="PMingLiU" w:hAnsi="Franklin Gothic Book"/>
          <w:color w:val="4C4C4E"/>
          <w:sz w:val="30"/>
        </w:rPr>
        <w:t>a</w:t>
      </w:r>
      <w:r w:rsidRPr="00956EB2">
        <w:rPr>
          <w:rFonts w:ascii="Franklin Gothic Book" w:eastAsia="PMingLiU" w:hAnsi="Franklin Gothic Book"/>
          <w:color w:val="4C4C4E"/>
          <w:spacing w:val="-17"/>
          <w:sz w:val="30"/>
        </w:rPr>
        <w:t xml:space="preserve"> </w:t>
      </w:r>
      <w:r w:rsidRPr="00956EB2">
        <w:rPr>
          <w:rFonts w:ascii="Franklin Gothic Book" w:eastAsia="PMingLiU" w:hAnsi="Franklin Gothic Book"/>
          <w:color w:val="4C4C4E"/>
          <w:sz w:val="30"/>
        </w:rPr>
        <w:t>stable magnetic</w:t>
      </w:r>
      <w:r w:rsidRPr="00956EB2">
        <w:rPr>
          <w:rFonts w:ascii="Franklin Gothic Book" w:eastAsia="PMingLiU" w:hAnsi="Franklin Gothic Book"/>
          <w:color w:val="4C4C4E"/>
          <w:spacing w:val="-54"/>
          <w:sz w:val="30"/>
        </w:rPr>
        <w:t xml:space="preserve"> </w:t>
      </w:r>
      <w:r w:rsidRPr="00956EB2">
        <w:rPr>
          <w:rFonts w:ascii="Franklin Gothic Book" w:eastAsia="PMingLiU" w:hAnsi="Franklin Gothic Book"/>
          <w:color w:val="4C4C4E"/>
          <w:sz w:val="30"/>
        </w:rPr>
        <w:t>memory</w:t>
      </w:r>
    </w:p>
    <w:p w:rsidR="00645FF7" w:rsidRDefault="00645FF7" w:rsidP="00760AF3">
      <w:pPr>
        <w:pStyle w:val="BodyText"/>
        <w:spacing w:before="9"/>
        <w:rPr>
          <w:rFonts w:ascii="PMingLiU"/>
          <w:sz w:val="23"/>
        </w:rPr>
      </w:pPr>
    </w:p>
    <w:p w:rsidR="00645FF7" w:rsidRPr="007A5153" w:rsidRDefault="00645FF7" w:rsidP="00760AF3">
      <w:pPr>
        <w:ind w:left="144"/>
        <w:jc w:val="both"/>
        <w:rPr>
          <w:rFonts w:ascii="Georgia" w:hAnsi="Georgia"/>
          <w:b/>
          <w:sz w:val="9"/>
        </w:rPr>
      </w:pPr>
      <w:r w:rsidRPr="007A5153">
        <w:rPr>
          <w:rFonts w:ascii="Georgia" w:hAnsi="Georgia"/>
          <w:i/>
          <w:color w:val="4C4C4E"/>
          <w:w w:val="95"/>
          <w:sz w:val="24"/>
        </w:rPr>
        <w:t xml:space="preserve">By </w:t>
      </w:r>
      <w:r w:rsidRPr="007A5153">
        <w:rPr>
          <w:rFonts w:ascii="Georgia" w:hAnsi="Georgia"/>
          <w:b/>
          <w:color w:val="4C4C4E"/>
          <w:w w:val="95"/>
          <w:sz w:val="24"/>
        </w:rPr>
        <w:t>Alexander Ako Khajetoorians</w:t>
      </w:r>
      <w:r w:rsidRPr="007A5153">
        <w:rPr>
          <w:rFonts w:ascii="Georgia" w:hAnsi="Georgia"/>
          <w:b/>
          <w:color w:val="4C4C4E"/>
          <w:w w:val="95"/>
          <w:position w:val="5"/>
          <w:sz w:val="9"/>
        </w:rPr>
        <w:t xml:space="preserve"> </w:t>
      </w:r>
      <w:r w:rsidRPr="007A5153">
        <w:rPr>
          <w:rFonts w:ascii="Georgia" w:hAnsi="Georgia"/>
          <w:i/>
          <w:color w:val="4C4C4E"/>
          <w:w w:val="95"/>
          <w:sz w:val="24"/>
        </w:rPr>
        <w:t xml:space="preserve">and </w:t>
      </w:r>
      <w:r w:rsidRPr="007A5153">
        <w:rPr>
          <w:rFonts w:ascii="Georgia" w:hAnsi="Georgia"/>
          <w:b/>
          <w:color w:val="4C4C4E"/>
          <w:w w:val="95"/>
          <w:sz w:val="24"/>
        </w:rPr>
        <w:t>Andreas J. Heinrich</w:t>
      </w:r>
    </w:p>
    <w:p w:rsidR="00645FF7" w:rsidRDefault="00645FF7" w:rsidP="00760AF3">
      <w:pPr>
        <w:pStyle w:val="BodyText"/>
        <w:spacing w:before="10"/>
        <w:rPr>
          <w:rFonts w:ascii="Georgia"/>
          <w:b/>
          <w:sz w:val="19"/>
        </w:rPr>
      </w:pPr>
    </w:p>
    <w:p w:rsidR="00645FF7" w:rsidRPr="00993E81" w:rsidRDefault="00645FF7" w:rsidP="00760AF3">
      <w:pPr>
        <w:pStyle w:val="BodyText"/>
        <w:ind w:firstLine="500"/>
        <w:jc w:val="both"/>
        <w:rPr>
          <w:sz w:val="24"/>
        </w:rPr>
      </w:pPr>
      <w:r w:rsidRPr="00993E81">
        <w:rPr>
          <w:color w:val="231F20"/>
          <w:sz w:val="24"/>
        </w:rPr>
        <w:t>Storing information in an ensemble of single-atom magnets represents the ultimate miniaturization of data storage technology, in which two speciﬁc orientations of each atomic magnetic moment represent a bit (a 0 or 1) of information (see the ﬁgure, panel A). The inherent dilemma in using a single-atom magnet is keeping it magnetized—or, in other words, being able to hold the information in one of the bit states without an external magnetic ﬁeld for a useful amount of time and at practical temperatures (</w:t>
      </w:r>
      <w:r w:rsidR="00266F52" w:rsidRPr="00A96ECC">
        <w:rPr>
          <w:rStyle w:val="EndnoteReference"/>
          <w:sz w:val="24"/>
        </w:rPr>
        <w:endnoteReference w:id="11"/>
      </w:r>
      <w:r w:rsidRPr="00993E81">
        <w:rPr>
          <w:color w:val="231F20"/>
          <w:sz w:val="24"/>
        </w:rPr>
        <w:t>,</w:t>
      </w:r>
      <w:r w:rsidR="00266F52" w:rsidRPr="00A96ECC">
        <w:rPr>
          <w:rStyle w:val="EndnoteReference"/>
          <w:sz w:val="24"/>
        </w:rPr>
        <w:endnoteReference w:id="12"/>
      </w:r>
      <w:r w:rsidRPr="00993E81">
        <w:rPr>
          <w:color w:val="231F20"/>
          <w:sz w:val="24"/>
        </w:rPr>
        <w:t>). This phenomenon of magnetic remanence is</w:t>
      </w:r>
      <w:r>
        <w:rPr>
          <w:color w:val="231F20"/>
          <w:sz w:val="24"/>
        </w:rPr>
        <w:t xml:space="preserve"> </w:t>
      </w:r>
      <w:r w:rsidRPr="00993E81">
        <w:rPr>
          <w:color w:val="231F20"/>
          <w:sz w:val="24"/>
        </w:rPr>
        <w:t>difficult</w:t>
      </w:r>
      <w:r>
        <w:rPr>
          <w:color w:val="231F20"/>
          <w:sz w:val="24"/>
        </w:rPr>
        <w:t xml:space="preserve"> </w:t>
      </w:r>
      <w:r w:rsidRPr="00993E81">
        <w:rPr>
          <w:color w:val="231F20"/>
          <w:sz w:val="24"/>
        </w:rPr>
        <w:t>to</w:t>
      </w:r>
      <w:r>
        <w:rPr>
          <w:color w:val="231F20"/>
          <w:sz w:val="24"/>
        </w:rPr>
        <w:t xml:space="preserve"> </w:t>
      </w:r>
      <w:r w:rsidRPr="00993E81">
        <w:rPr>
          <w:color w:val="231F20"/>
          <w:sz w:val="24"/>
        </w:rPr>
        <w:t>realize</w:t>
      </w:r>
      <w:r>
        <w:rPr>
          <w:color w:val="231F20"/>
          <w:sz w:val="24"/>
        </w:rPr>
        <w:t xml:space="preserve"> </w:t>
      </w:r>
      <w:r w:rsidRPr="00993E81">
        <w:rPr>
          <w:color w:val="231F20"/>
          <w:sz w:val="24"/>
        </w:rPr>
        <w:t>from</w:t>
      </w:r>
      <w:r>
        <w:rPr>
          <w:color w:val="231F20"/>
          <w:sz w:val="24"/>
        </w:rPr>
        <w:t xml:space="preserve"> </w:t>
      </w:r>
      <w:r w:rsidRPr="00993E81">
        <w:rPr>
          <w:color w:val="231F20"/>
          <w:sz w:val="24"/>
        </w:rPr>
        <w:t>a</w:t>
      </w:r>
      <w:r>
        <w:rPr>
          <w:color w:val="231F20"/>
          <w:sz w:val="24"/>
        </w:rPr>
        <w:t xml:space="preserve"> </w:t>
      </w:r>
      <w:r w:rsidRPr="00993E81">
        <w:rPr>
          <w:color w:val="231F20"/>
          <w:sz w:val="24"/>
        </w:rPr>
        <w:t>single</w:t>
      </w:r>
      <w:r>
        <w:rPr>
          <w:color w:val="231F20"/>
          <w:sz w:val="24"/>
        </w:rPr>
        <w:t xml:space="preserve"> </w:t>
      </w:r>
      <w:r w:rsidRPr="00993E81">
        <w:rPr>
          <w:color w:val="231F20"/>
          <w:sz w:val="24"/>
        </w:rPr>
        <w:t>atom, in part because diminished robustness against ﬂuctuations from the environment can unintentionally ﬂip the magnetic state, thus wiping out the magnetic memory. A recent attempt to observe remanence in a single atom (</w:t>
      </w:r>
      <w:r w:rsidR="00266F52" w:rsidRPr="00A96ECC">
        <w:rPr>
          <w:rStyle w:val="EndnoteReference"/>
          <w:sz w:val="24"/>
        </w:rPr>
        <w:endnoteReference w:id="13"/>
      </w:r>
      <w:r w:rsidRPr="00993E81">
        <w:rPr>
          <w:color w:val="231F20"/>
          <w:sz w:val="24"/>
        </w:rPr>
        <w:t>) proved premature, as the results were incompatible with the magnetic ground state of that system (</w:t>
      </w:r>
      <w:r w:rsidR="00266F52" w:rsidRPr="00A96ECC">
        <w:rPr>
          <w:rStyle w:val="EndnoteReference"/>
          <w:sz w:val="24"/>
        </w:rPr>
        <w:endnoteReference w:id="14"/>
      </w:r>
      <w:r w:rsidRPr="00993E81">
        <w:rPr>
          <w:color w:val="231F20"/>
          <w:sz w:val="24"/>
        </w:rPr>
        <w:t>) and could not be reproduced (</w:t>
      </w:r>
      <w:r w:rsidR="00A96ECC" w:rsidRPr="00A96ECC">
        <w:rPr>
          <w:color w:val="231F20"/>
          <w:sz w:val="24"/>
          <w:vertAlign w:val="superscript"/>
        </w:rPr>
        <w:fldChar w:fldCharType="begin"/>
      </w:r>
      <w:r w:rsidR="00A96ECC" w:rsidRPr="00A96ECC">
        <w:rPr>
          <w:color w:val="231F20"/>
          <w:sz w:val="24"/>
          <w:vertAlign w:val="superscript"/>
        </w:rPr>
        <w:instrText xml:space="preserve"> NOTEREF _Ref523941434 \h </w:instrText>
      </w:r>
      <w:r w:rsidR="00A96ECC">
        <w:rPr>
          <w:color w:val="231F20"/>
          <w:sz w:val="24"/>
          <w:vertAlign w:val="superscript"/>
        </w:rPr>
        <w:instrText xml:space="preserve"> \* MERGEFORMAT </w:instrText>
      </w:r>
      <w:r w:rsidR="00A96ECC" w:rsidRPr="00A96ECC">
        <w:rPr>
          <w:color w:val="231F20"/>
          <w:sz w:val="24"/>
          <w:vertAlign w:val="superscript"/>
        </w:rPr>
      </w:r>
      <w:r w:rsidR="00A96ECC" w:rsidRPr="00A96ECC">
        <w:rPr>
          <w:color w:val="231F20"/>
          <w:sz w:val="24"/>
          <w:vertAlign w:val="superscript"/>
        </w:rPr>
        <w:fldChar w:fldCharType="separate"/>
      </w:r>
      <w:r w:rsidR="00A96ECC" w:rsidRPr="00A96ECC">
        <w:rPr>
          <w:color w:val="231F20"/>
          <w:sz w:val="24"/>
          <w:vertAlign w:val="superscript"/>
        </w:rPr>
        <w:t>4</w:t>
      </w:r>
      <w:r w:rsidR="00A96ECC" w:rsidRPr="00A96ECC">
        <w:rPr>
          <w:color w:val="231F20"/>
          <w:sz w:val="24"/>
          <w:vertAlign w:val="superscript"/>
        </w:rPr>
        <w:fldChar w:fldCharType="end"/>
      </w:r>
      <w:r w:rsidRPr="00993E81">
        <w:rPr>
          <w:color w:val="231F20"/>
          <w:sz w:val="24"/>
        </w:rPr>
        <w:t>,</w:t>
      </w:r>
      <w:r w:rsidR="00A96ECC">
        <w:rPr>
          <w:color w:val="231F20"/>
          <w:sz w:val="24"/>
        </w:rPr>
        <w:t xml:space="preserve"> </w:t>
      </w:r>
      <w:r w:rsidR="00266F52" w:rsidRPr="00A96ECC">
        <w:rPr>
          <w:rStyle w:val="EndnoteReference"/>
          <w:sz w:val="24"/>
        </w:rPr>
        <w:endnoteReference w:id="15"/>
      </w:r>
      <w:r w:rsidRPr="00993E81">
        <w:rPr>
          <w:color w:val="231F20"/>
          <w:sz w:val="24"/>
        </w:rPr>
        <w:t xml:space="preserve">). Hence, the question of whether this deﬁning property of a single-atom magnet can actually be achieved has remained an open question until now. On page 318 of this issue, Donati </w:t>
      </w:r>
      <w:r w:rsidRPr="00993E81">
        <w:rPr>
          <w:rFonts w:ascii="Georgia" w:hAnsi="Georgia"/>
          <w:i/>
          <w:color w:val="231F20"/>
          <w:sz w:val="24"/>
        </w:rPr>
        <w:t xml:space="preserve">et al. </w:t>
      </w:r>
      <w:r w:rsidRPr="00993E81">
        <w:rPr>
          <w:color w:val="231F20"/>
          <w:sz w:val="24"/>
        </w:rPr>
        <w:t>(</w:t>
      </w:r>
      <w:r w:rsidR="00266F52" w:rsidRPr="00A96ECC">
        <w:rPr>
          <w:rStyle w:val="EndnoteReference"/>
          <w:sz w:val="24"/>
        </w:rPr>
        <w:endnoteReference w:id="16"/>
      </w:r>
      <w:r w:rsidRPr="00993E81">
        <w:rPr>
          <w:color w:val="231F20"/>
          <w:sz w:val="24"/>
        </w:rPr>
        <w:t>) demonstrate that single holmium atoms exhibit magnetic remanence up to temperatures of 40 K, much higher than previous records of atomic-scale magnets composed of 3 to 12 atoms (</w:t>
      </w:r>
      <w:r w:rsidR="00A96ECC" w:rsidRPr="004B0DCA">
        <w:rPr>
          <w:rStyle w:val="EndnoteReference"/>
          <w:sz w:val="24"/>
        </w:rPr>
        <w:fldChar w:fldCharType="begin"/>
      </w:r>
      <w:r w:rsidR="00A96ECC" w:rsidRPr="004B0DCA">
        <w:rPr>
          <w:rStyle w:val="EndnoteReference"/>
          <w:sz w:val="24"/>
        </w:rPr>
        <w:instrText xml:space="preserve"> NOTEREF _Ref523941478 \h </w:instrText>
      </w:r>
      <w:r w:rsidR="004B0DCA" w:rsidRPr="004B0DCA">
        <w:rPr>
          <w:rStyle w:val="EndnoteReference"/>
          <w:sz w:val="24"/>
        </w:rPr>
        <w:instrText xml:space="preserve"> \* MERGEFORMAT </w:instrText>
      </w:r>
      <w:r w:rsidR="00A96ECC" w:rsidRPr="004B0DCA">
        <w:rPr>
          <w:rStyle w:val="EndnoteReference"/>
          <w:sz w:val="24"/>
        </w:rPr>
      </w:r>
      <w:r w:rsidR="00A96ECC" w:rsidRPr="004B0DCA">
        <w:rPr>
          <w:rStyle w:val="EndnoteReference"/>
          <w:sz w:val="24"/>
        </w:rPr>
        <w:fldChar w:fldCharType="separate"/>
      </w:r>
      <w:r w:rsidR="00A96ECC" w:rsidRPr="004B0DCA">
        <w:rPr>
          <w:rStyle w:val="EndnoteReference"/>
          <w:sz w:val="24"/>
        </w:rPr>
        <w:t>1</w:t>
      </w:r>
      <w:r w:rsidR="00A96ECC" w:rsidRPr="004B0DCA">
        <w:rPr>
          <w:rStyle w:val="EndnoteReference"/>
          <w:sz w:val="24"/>
        </w:rPr>
        <w:fldChar w:fldCharType="end"/>
      </w:r>
      <w:r w:rsidR="00A96ECC">
        <w:rPr>
          <w:color w:val="231F20"/>
          <w:sz w:val="24"/>
        </w:rPr>
        <w:t xml:space="preserve">, </w:t>
      </w:r>
      <w:r w:rsidR="00A96ECC" w:rsidRPr="004B0DCA">
        <w:rPr>
          <w:rStyle w:val="EndnoteReference"/>
          <w:sz w:val="24"/>
        </w:rPr>
        <w:fldChar w:fldCharType="begin"/>
      </w:r>
      <w:r w:rsidR="00A96ECC" w:rsidRPr="004B0DCA">
        <w:rPr>
          <w:rStyle w:val="EndnoteReference"/>
          <w:sz w:val="24"/>
        </w:rPr>
        <w:instrText xml:space="preserve"> NOTEREF _Ref523941499 \h </w:instrText>
      </w:r>
      <w:r w:rsidR="004B0DCA" w:rsidRPr="004B0DCA">
        <w:rPr>
          <w:rStyle w:val="EndnoteReference"/>
          <w:sz w:val="24"/>
        </w:rPr>
        <w:instrText xml:space="preserve"> \* MERGEFORMAT </w:instrText>
      </w:r>
      <w:r w:rsidR="00A96ECC" w:rsidRPr="004B0DCA">
        <w:rPr>
          <w:rStyle w:val="EndnoteReference"/>
          <w:sz w:val="24"/>
        </w:rPr>
      </w:r>
      <w:r w:rsidR="00A96ECC" w:rsidRPr="004B0DCA">
        <w:rPr>
          <w:rStyle w:val="EndnoteReference"/>
          <w:sz w:val="24"/>
        </w:rPr>
        <w:fldChar w:fldCharType="separate"/>
      </w:r>
      <w:r w:rsidR="00A96ECC" w:rsidRPr="004B0DCA">
        <w:rPr>
          <w:rStyle w:val="EndnoteReference"/>
          <w:sz w:val="24"/>
        </w:rPr>
        <w:t>2</w:t>
      </w:r>
      <w:r w:rsidR="00A96ECC" w:rsidRPr="004B0DCA">
        <w:rPr>
          <w:rStyle w:val="EndnoteReference"/>
          <w:sz w:val="24"/>
        </w:rPr>
        <w:fldChar w:fldCharType="end"/>
      </w:r>
      <w:r w:rsidR="00A96ECC" w:rsidRPr="004B0DCA">
        <w:rPr>
          <w:color w:val="231F20"/>
          <w:sz w:val="24"/>
        </w:rPr>
        <w:t xml:space="preserve">, </w:t>
      </w:r>
      <w:r w:rsidR="00A96ECC" w:rsidRPr="004B0DCA">
        <w:rPr>
          <w:rStyle w:val="EndnoteReference"/>
          <w:sz w:val="24"/>
        </w:rPr>
        <w:fldChar w:fldCharType="begin"/>
      </w:r>
      <w:r w:rsidR="00A96ECC" w:rsidRPr="004B0DCA">
        <w:rPr>
          <w:rStyle w:val="EndnoteReference"/>
          <w:sz w:val="24"/>
        </w:rPr>
        <w:instrText xml:space="preserve"> NOTEREF _Ref523941542 \h </w:instrText>
      </w:r>
      <w:r w:rsidR="004B0DCA" w:rsidRPr="004B0DCA">
        <w:rPr>
          <w:rStyle w:val="EndnoteReference"/>
          <w:sz w:val="24"/>
        </w:rPr>
        <w:instrText xml:space="preserve"> \* MERGEFORMAT </w:instrText>
      </w:r>
      <w:r w:rsidR="00A96ECC" w:rsidRPr="004B0DCA">
        <w:rPr>
          <w:rStyle w:val="EndnoteReference"/>
          <w:sz w:val="24"/>
        </w:rPr>
      </w:r>
      <w:r w:rsidR="00A96ECC" w:rsidRPr="004B0DCA">
        <w:rPr>
          <w:rStyle w:val="EndnoteReference"/>
          <w:sz w:val="24"/>
        </w:rPr>
        <w:fldChar w:fldCharType="separate"/>
      </w:r>
      <w:r w:rsidR="00A96ECC" w:rsidRPr="004B0DCA">
        <w:rPr>
          <w:rStyle w:val="EndnoteReference"/>
          <w:sz w:val="24"/>
        </w:rPr>
        <w:t>5</w:t>
      </w:r>
      <w:r w:rsidR="00A96ECC" w:rsidRPr="004B0DCA">
        <w:rPr>
          <w:rStyle w:val="EndnoteReference"/>
          <w:sz w:val="24"/>
        </w:rPr>
        <w:fldChar w:fldCharType="end"/>
      </w:r>
      <w:r w:rsidRPr="00993E81">
        <w:rPr>
          <w:color w:val="231F20"/>
          <w:sz w:val="24"/>
        </w:rPr>
        <w:t>)—a record in both size and stability for any magnet.</w:t>
      </w:r>
    </w:p>
    <w:p w:rsidR="00645FF7" w:rsidRPr="00993E81" w:rsidRDefault="00645FF7" w:rsidP="00760AF3">
      <w:pPr>
        <w:pStyle w:val="BodyText"/>
        <w:ind w:firstLine="500"/>
        <w:jc w:val="both"/>
        <w:rPr>
          <w:color w:val="231F20"/>
          <w:sz w:val="24"/>
        </w:rPr>
      </w:pPr>
      <w:r w:rsidRPr="00993E81">
        <w:rPr>
          <w:color w:val="231F20"/>
          <w:sz w:val="24"/>
        </w:rPr>
        <w:t>A requirement for remanence in an atom adsorbed on a single surface is a large energy barrier that separates two distinct magnetic ground states. This so-called magnetic anisotropy energy (MAE) (see the ﬁgure, panel B) was shown to be large for single Co atoms, relative to the bulk, adsorbed on a Pt surface (</w:t>
      </w:r>
      <w:r w:rsidR="00266F52" w:rsidRPr="00A96ECC">
        <w:rPr>
          <w:rStyle w:val="EndnoteReference"/>
          <w:sz w:val="24"/>
        </w:rPr>
        <w:endnoteReference w:id="17"/>
      </w:r>
      <w:r w:rsidRPr="00993E81">
        <w:rPr>
          <w:color w:val="231F20"/>
          <w:sz w:val="24"/>
        </w:rPr>
        <w:t>). At a temperature on the order of the MAE, the magnetic moment should “freeze” on one side of the barrier. This discovery paved a decade-long path, based on x-ray absorption spectroscopy (XAS) and spin-resolved scanning tunneling microscopy (STM), toward realizing</w:t>
      </w:r>
      <w:r>
        <w:rPr>
          <w:color w:val="231F20"/>
          <w:sz w:val="24"/>
        </w:rPr>
        <w:t xml:space="preserve"> </w:t>
      </w:r>
      <w:r w:rsidRPr="00993E81">
        <w:rPr>
          <w:color w:val="231F20"/>
          <w:sz w:val="24"/>
        </w:rPr>
        <w:t>magnetic</w:t>
      </w:r>
      <w:r>
        <w:rPr>
          <w:color w:val="231F20"/>
          <w:sz w:val="24"/>
        </w:rPr>
        <w:t xml:space="preserve"> </w:t>
      </w:r>
      <w:r w:rsidRPr="00993E81">
        <w:rPr>
          <w:color w:val="231F20"/>
          <w:sz w:val="24"/>
        </w:rPr>
        <w:t>remanence</w:t>
      </w:r>
      <w:r>
        <w:rPr>
          <w:color w:val="231F20"/>
          <w:sz w:val="24"/>
        </w:rPr>
        <w:t xml:space="preserve"> </w:t>
      </w:r>
      <w:r w:rsidRPr="00993E81">
        <w:rPr>
          <w:color w:val="231F20"/>
          <w:sz w:val="24"/>
        </w:rPr>
        <w:t>at</w:t>
      </w:r>
      <w:r>
        <w:rPr>
          <w:color w:val="231F20"/>
          <w:sz w:val="24"/>
        </w:rPr>
        <w:t xml:space="preserve"> </w:t>
      </w:r>
      <w:r w:rsidRPr="00993E81">
        <w:rPr>
          <w:color w:val="231F20"/>
          <w:sz w:val="24"/>
        </w:rPr>
        <w:t>sufficiently low temperatures (</w:t>
      </w:r>
      <w:r w:rsidR="00266F52" w:rsidRPr="00A96ECC">
        <w:rPr>
          <w:rStyle w:val="EndnoteReference"/>
          <w:sz w:val="24"/>
        </w:rPr>
        <w:endnoteReference w:id="18"/>
      </w:r>
      <w:r w:rsidRPr="00993E81">
        <w:rPr>
          <w:color w:val="231F20"/>
          <w:sz w:val="24"/>
        </w:rPr>
        <w:t>). Although the MAE of a single Co atom has been boosted to the theoretical limit (</w:t>
      </w:r>
      <w:r w:rsidR="00266F52" w:rsidRPr="00A96ECC">
        <w:rPr>
          <w:rStyle w:val="EndnoteReference"/>
          <w:sz w:val="24"/>
        </w:rPr>
        <w:endnoteReference w:id="19"/>
      </w:r>
      <w:r w:rsidRPr="00993E81">
        <w:rPr>
          <w:color w:val="231F20"/>
          <w:sz w:val="24"/>
        </w:rPr>
        <w:t>), the observation of remanence in a single-atom magnet has remained elusive because of the pronounced quantum nature of single-atom</w:t>
      </w:r>
      <w:r>
        <w:rPr>
          <w:color w:val="231F20"/>
          <w:sz w:val="24"/>
        </w:rPr>
        <w:t xml:space="preserve"> </w:t>
      </w:r>
      <w:r w:rsidRPr="00993E81">
        <w:rPr>
          <w:color w:val="231F20"/>
          <w:sz w:val="24"/>
        </w:rPr>
        <w:t>spins.</w:t>
      </w:r>
    </w:p>
    <w:p w:rsidR="00645FF7" w:rsidRPr="00993E81" w:rsidRDefault="00645FF7" w:rsidP="00760AF3">
      <w:pPr>
        <w:pStyle w:val="BodyText"/>
        <w:ind w:firstLine="500"/>
        <w:jc w:val="both"/>
        <w:rPr>
          <w:color w:val="231F20"/>
          <w:sz w:val="24"/>
        </w:rPr>
      </w:pPr>
      <w:r w:rsidRPr="00993E81">
        <w:rPr>
          <w:color w:val="231F20"/>
          <w:sz w:val="24"/>
        </w:rPr>
        <w:t xml:space="preserve">Quantum mechanics restricts the magnetic moment to discrete orientations related to the quantum number </w:t>
      </w:r>
      <w:r w:rsidRPr="00993E81">
        <w:rPr>
          <w:i/>
          <w:color w:val="231F20"/>
          <w:sz w:val="24"/>
        </w:rPr>
        <w:t>J</w:t>
      </w:r>
      <w:r w:rsidRPr="00993E81">
        <w:rPr>
          <w:i/>
          <w:color w:val="231F20"/>
          <w:sz w:val="24"/>
          <w:vertAlign w:val="subscript"/>
        </w:rPr>
        <w:t>z</w:t>
      </w:r>
      <w:r w:rsidRPr="00993E81">
        <w:rPr>
          <w:color w:val="231F20"/>
          <w:sz w:val="24"/>
        </w:rPr>
        <w:t>, and the energy of each discrete state (see the ﬁgure, panel B) is dictated by the local environment or crystal ﬁeld. In certain cases where the crystal ﬁeld symmetry is relatively low, shortcuts</w:t>
      </w:r>
      <w:r>
        <w:rPr>
          <w:color w:val="231F20"/>
          <w:sz w:val="24"/>
        </w:rPr>
        <w:t xml:space="preserve"> </w:t>
      </w:r>
      <w:r w:rsidRPr="00993E81">
        <w:rPr>
          <w:color w:val="231F20"/>
          <w:sz w:val="24"/>
        </w:rPr>
        <w:t>can</w:t>
      </w:r>
      <w:r>
        <w:rPr>
          <w:color w:val="231F20"/>
          <w:sz w:val="24"/>
        </w:rPr>
        <w:t xml:space="preserve"> </w:t>
      </w:r>
      <w:r w:rsidRPr="00993E81">
        <w:rPr>
          <w:color w:val="231F20"/>
          <w:sz w:val="24"/>
        </w:rPr>
        <w:t>be</w:t>
      </w:r>
      <w:r>
        <w:rPr>
          <w:color w:val="231F20"/>
          <w:sz w:val="24"/>
        </w:rPr>
        <w:t xml:space="preserve"> </w:t>
      </w:r>
      <w:r w:rsidRPr="00993E81">
        <w:rPr>
          <w:color w:val="231F20"/>
          <w:sz w:val="24"/>
        </w:rPr>
        <w:t>made</w:t>
      </w:r>
      <w:r>
        <w:rPr>
          <w:color w:val="231F20"/>
          <w:sz w:val="24"/>
        </w:rPr>
        <w:t xml:space="preserve"> </w:t>
      </w:r>
      <w:r w:rsidRPr="00993E81">
        <w:rPr>
          <w:color w:val="231F20"/>
          <w:sz w:val="24"/>
        </w:rPr>
        <w:t>through</w:t>
      </w:r>
      <w:r>
        <w:rPr>
          <w:color w:val="231F20"/>
          <w:sz w:val="24"/>
        </w:rPr>
        <w:t xml:space="preserve"> </w:t>
      </w:r>
      <w:r w:rsidRPr="00993E81">
        <w:rPr>
          <w:color w:val="231F20"/>
          <w:sz w:val="24"/>
        </w:rPr>
        <w:t xml:space="preserve">the barrier (dashed blue arrow in the ﬁgure). This makes the magnetic moment exquisitely sensitive to interactions with electrons and phonons (lattice vibrations), which can exchange angular momentum and connect a ground state with </w:t>
      </w:r>
      <w:r w:rsidRPr="00993E81">
        <w:rPr>
          <w:i/>
          <w:color w:val="231F20"/>
          <w:sz w:val="24"/>
        </w:rPr>
        <w:t>J</w:t>
      </w:r>
      <w:r w:rsidRPr="00993E81">
        <w:rPr>
          <w:i/>
          <w:color w:val="231F20"/>
          <w:sz w:val="24"/>
          <w:vertAlign w:val="subscript"/>
        </w:rPr>
        <w:t>z</w:t>
      </w:r>
      <w:r w:rsidRPr="00993E81">
        <w:rPr>
          <w:color w:val="231F20"/>
          <w:sz w:val="24"/>
        </w:rPr>
        <w:t xml:space="preserve"> states on the other side of the MAE barrier. For two-fold symmetry (</w:t>
      </w:r>
      <w:r w:rsidR="004B0DCA" w:rsidRPr="004B0DCA">
        <w:rPr>
          <w:rStyle w:val="EndnoteReference"/>
          <w:sz w:val="24"/>
        </w:rPr>
        <w:fldChar w:fldCharType="begin"/>
      </w:r>
      <w:r w:rsidR="004B0DCA" w:rsidRPr="004B0DCA">
        <w:rPr>
          <w:rStyle w:val="EndnoteReference"/>
          <w:sz w:val="24"/>
        </w:rPr>
        <w:instrText xml:space="preserve"> NOTEREF _Ref523941478 \h  \* MERGEFORMAT </w:instrText>
      </w:r>
      <w:r w:rsidR="004B0DCA" w:rsidRPr="004B0DCA">
        <w:rPr>
          <w:rStyle w:val="EndnoteReference"/>
          <w:sz w:val="24"/>
        </w:rPr>
      </w:r>
      <w:r w:rsidR="004B0DCA" w:rsidRPr="004B0DCA">
        <w:rPr>
          <w:rStyle w:val="EndnoteReference"/>
          <w:sz w:val="24"/>
        </w:rPr>
        <w:fldChar w:fldCharType="separate"/>
      </w:r>
      <w:r w:rsidR="004B0DCA" w:rsidRPr="004B0DCA">
        <w:rPr>
          <w:rStyle w:val="EndnoteReference"/>
          <w:sz w:val="24"/>
        </w:rPr>
        <w:t>1</w:t>
      </w:r>
      <w:r w:rsidR="004B0DCA" w:rsidRPr="004B0DCA">
        <w:rPr>
          <w:rStyle w:val="EndnoteReference"/>
          <w:sz w:val="24"/>
        </w:rPr>
        <w:fldChar w:fldCharType="end"/>
      </w:r>
      <w:r w:rsidRPr="004B0DCA">
        <w:rPr>
          <w:color w:val="231F20"/>
          <w:sz w:val="24"/>
        </w:rPr>
        <w:t xml:space="preserve">, </w:t>
      </w:r>
      <w:r w:rsidR="004B0DCA" w:rsidRPr="004B0DCA">
        <w:rPr>
          <w:rStyle w:val="EndnoteReference"/>
          <w:sz w:val="24"/>
        </w:rPr>
        <w:fldChar w:fldCharType="begin"/>
      </w:r>
      <w:r w:rsidR="004B0DCA" w:rsidRPr="004B0DCA">
        <w:rPr>
          <w:rStyle w:val="EndnoteReference"/>
          <w:sz w:val="24"/>
        </w:rPr>
        <w:instrText xml:space="preserve"> NOTEREF _Ref523941499 \h  \* MERGEFORMAT </w:instrText>
      </w:r>
      <w:r w:rsidR="004B0DCA" w:rsidRPr="004B0DCA">
        <w:rPr>
          <w:rStyle w:val="EndnoteReference"/>
          <w:sz w:val="24"/>
        </w:rPr>
      </w:r>
      <w:r w:rsidR="004B0DCA" w:rsidRPr="004B0DCA">
        <w:rPr>
          <w:rStyle w:val="EndnoteReference"/>
          <w:sz w:val="24"/>
        </w:rPr>
        <w:fldChar w:fldCharType="separate"/>
      </w:r>
      <w:r w:rsidR="004B0DCA" w:rsidRPr="004B0DCA">
        <w:rPr>
          <w:rStyle w:val="EndnoteReference"/>
          <w:sz w:val="24"/>
        </w:rPr>
        <w:t>2</w:t>
      </w:r>
      <w:r w:rsidR="004B0DCA" w:rsidRPr="004B0DCA">
        <w:rPr>
          <w:rStyle w:val="EndnoteReference"/>
          <w:sz w:val="24"/>
        </w:rPr>
        <w:fldChar w:fldCharType="end"/>
      </w:r>
      <w:r>
        <w:rPr>
          <w:color w:val="231F20"/>
          <w:sz w:val="24"/>
        </w:rPr>
        <w:t>,</w:t>
      </w:r>
      <w:r w:rsidR="004B0DCA">
        <w:rPr>
          <w:color w:val="231F20"/>
          <w:sz w:val="24"/>
        </w:rPr>
        <w:t xml:space="preserve"> </w:t>
      </w:r>
      <w:bookmarkStart w:id="8" w:name="_Ref523941656"/>
      <w:r w:rsidR="00266F52" w:rsidRPr="00A96ECC">
        <w:rPr>
          <w:rStyle w:val="EndnoteReference"/>
          <w:sz w:val="24"/>
        </w:rPr>
        <w:endnoteReference w:id="20"/>
      </w:r>
      <w:bookmarkEnd w:id="8"/>
      <w:r w:rsidRPr="00993E81">
        <w:rPr>
          <w:color w:val="231F20"/>
          <w:sz w:val="24"/>
        </w:rPr>
        <w:t>), ground-state reversal can occur with just one electron, even in the presence of a large MAE. Therefore, in addition to decoupling the atomic moment from electron and phonon reservoirs, it is necessary to engineer an energy landscape where the magnetic ground states are insensitive to such electron processes (</w:t>
      </w:r>
      <w:r w:rsidR="004B0DCA" w:rsidRPr="004B0DCA">
        <w:rPr>
          <w:rStyle w:val="EndnoteReference"/>
          <w:sz w:val="24"/>
        </w:rPr>
        <w:fldChar w:fldCharType="begin"/>
      </w:r>
      <w:r w:rsidR="004B0DCA" w:rsidRPr="004B0DCA">
        <w:rPr>
          <w:rStyle w:val="EndnoteReference"/>
          <w:sz w:val="24"/>
        </w:rPr>
        <w:instrText xml:space="preserve"> NOTEREF _Ref523941656 \h  \* MERGEFORMAT </w:instrText>
      </w:r>
      <w:r w:rsidR="004B0DCA" w:rsidRPr="004B0DCA">
        <w:rPr>
          <w:rStyle w:val="EndnoteReference"/>
          <w:sz w:val="24"/>
        </w:rPr>
      </w:r>
      <w:r w:rsidR="004B0DCA" w:rsidRPr="004B0DCA">
        <w:rPr>
          <w:rStyle w:val="EndnoteReference"/>
          <w:sz w:val="24"/>
        </w:rPr>
        <w:fldChar w:fldCharType="separate"/>
      </w:r>
      <w:r w:rsidR="004B0DCA" w:rsidRPr="004B0DCA">
        <w:rPr>
          <w:rStyle w:val="EndnoteReference"/>
          <w:sz w:val="24"/>
        </w:rPr>
        <w:t>10</w:t>
      </w:r>
      <w:r w:rsidR="004B0DCA" w:rsidRPr="004B0DCA">
        <w:rPr>
          <w:rStyle w:val="EndnoteReference"/>
          <w:sz w:val="24"/>
        </w:rPr>
        <w:fldChar w:fldCharType="end"/>
      </w:r>
      <w:r w:rsidRPr="00993E81">
        <w:rPr>
          <w:color w:val="231F20"/>
          <w:sz w:val="24"/>
        </w:rPr>
        <w:t>).</w:t>
      </w:r>
    </w:p>
    <w:p w:rsidR="00645FF7" w:rsidRPr="00645FF7" w:rsidRDefault="00645FF7" w:rsidP="00645FF7">
      <w:pPr>
        <w:pStyle w:val="BodyText"/>
        <w:spacing w:before="120" w:after="120"/>
        <w:jc w:val="both"/>
        <w:rPr>
          <w:color w:val="231F20"/>
          <w:sz w:val="24"/>
        </w:rPr>
      </w:pPr>
      <w:r w:rsidRPr="007A5153">
        <w:rPr>
          <w:noProof/>
          <w:color w:val="231F20"/>
          <w:sz w:val="24"/>
        </w:rPr>
        <w:lastRenderedPageBreak/>
        <w:drawing>
          <wp:anchor distT="0" distB="0" distL="114300" distR="114300" simplePos="0" relativeHeight="251660288" behindDoc="0" locked="0" layoutInCell="1" allowOverlap="1" wp14:anchorId="00D7E6B3">
            <wp:simplePos x="0" y="0"/>
            <wp:positionH relativeFrom="column">
              <wp:posOffset>3222</wp:posOffset>
            </wp:positionH>
            <wp:positionV relativeFrom="paragraph">
              <wp:posOffset>3222</wp:posOffset>
            </wp:positionV>
            <wp:extent cx="6885305" cy="6126515"/>
            <wp:effectExtent l="0" t="0" r="0" b="762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885305" cy="6126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5FF7">
        <w:rPr>
          <w:rFonts w:ascii="BentonSansCondensed-Bold" w:hAnsi="BentonSansCondensed-Bold" w:cs="BentonSansCondensed-Bold"/>
          <w:b/>
          <w:bCs/>
          <w:sz w:val="24"/>
          <w:szCs w:val="15"/>
        </w:rPr>
        <w:t xml:space="preserve">A single-atom memory. </w:t>
      </w:r>
      <w:r w:rsidRPr="00645FF7">
        <w:rPr>
          <w:rFonts w:ascii="BentonSansCondensed-Book" w:hAnsi="BentonSansCondensed-Book" w:cs="BentonSansCondensed-Book"/>
          <w:sz w:val="24"/>
          <w:szCs w:val="15"/>
        </w:rPr>
        <w:t>(</w:t>
      </w:r>
      <w:r w:rsidRPr="00645FF7">
        <w:rPr>
          <w:rFonts w:ascii="BentonSansCondensed-Bold" w:hAnsi="BentonSansCondensed-Bold" w:cs="BentonSansCondensed-Bold"/>
          <w:b/>
          <w:bCs/>
          <w:sz w:val="24"/>
          <w:szCs w:val="15"/>
        </w:rPr>
        <w:t>A</w:t>
      </w:r>
      <w:r w:rsidRPr="00645FF7">
        <w:rPr>
          <w:rFonts w:ascii="BentonSansCondensed-Book" w:hAnsi="BentonSansCondensed-Book" w:cs="BentonSansCondensed-Book"/>
          <w:sz w:val="24"/>
          <w:szCs w:val="15"/>
        </w:rPr>
        <w:t>) The orientation of the magnetic moment is represented at a 0 or 1 state. (</w:t>
      </w:r>
      <w:r w:rsidRPr="00645FF7">
        <w:rPr>
          <w:rFonts w:ascii="BentonSansCondensed-Bold" w:hAnsi="BentonSansCondensed-Bold" w:cs="BentonSansCondensed-Bold"/>
          <w:b/>
          <w:bCs/>
          <w:sz w:val="24"/>
          <w:szCs w:val="15"/>
        </w:rPr>
        <w:t>B</w:t>
      </w:r>
      <w:r w:rsidRPr="00645FF7">
        <w:rPr>
          <w:rFonts w:ascii="BentonSansCondensed-Book" w:hAnsi="BentonSansCondensed-Book" w:cs="BentonSansCondensed-Book"/>
          <w:sz w:val="24"/>
          <w:szCs w:val="15"/>
        </w:rPr>
        <w:t>) The energy barriers, def ned by the magnetic anisotropy energy (MAE) for a single magnetic atom in a two-fold and fourfold symmetric environment. For a two-fold environment, a single electron can induce a reversal of the magnetic state bypassing the barrier, whereas the four-fold environment protects against such reversal because two or more electrons are needed.</w:t>
      </w:r>
    </w:p>
    <w:p w:rsidR="00645FF7" w:rsidRPr="00993E81" w:rsidRDefault="00645FF7" w:rsidP="00760AF3">
      <w:pPr>
        <w:pStyle w:val="BodyText"/>
        <w:ind w:firstLine="500"/>
        <w:jc w:val="both"/>
        <w:rPr>
          <w:color w:val="231F20"/>
          <w:sz w:val="24"/>
        </w:rPr>
      </w:pPr>
      <w:r w:rsidRPr="00993E81">
        <w:rPr>
          <w:color w:val="231F20"/>
          <w:sz w:val="24"/>
        </w:rPr>
        <w:t>Donati et al. create such an energy landscape in the form of a four-fold symmetric environment for Ho atoms on MgO. By using circularly polarized XAS and magnetic circular dichroism</w:t>
      </w:r>
      <w:r>
        <w:rPr>
          <w:color w:val="231F20"/>
          <w:sz w:val="24"/>
        </w:rPr>
        <w:t xml:space="preserve"> </w:t>
      </w:r>
      <w:r w:rsidRPr="00993E81">
        <w:rPr>
          <w:color w:val="231F20"/>
          <w:sz w:val="24"/>
        </w:rPr>
        <w:t>(XMCD),</w:t>
      </w:r>
      <w:r>
        <w:rPr>
          <w:color w:val="231F20"/>
          <w:sz w:val="24"/>
        </w:rPr>
        <w:t xml:space="preserve"> </w:t>
      </w:r>
      <w:r w:rsidRPr="00993E81">
        <w:rPr>
          <w:color w:val="231F20"/>
          <w:sz w:val="24"/>
        </w:rPr>
        <w:t>which is sensitive to the magnetic orientation of</w:t>
      </w:r>
      <w:r>
        <w:rPr>
          <w:color w:val="231F20"/>
          <w:sz w:val="24"/>
        </w:rPr>
        <w:t xml:space="preserve"> </w:t>
      </w:r>
      <w:r w:rsidRPr="00993E81">
        <w:rPr>
          <w:color w:val="231F20"/>
          <w:sz w:val="24"/>
        </w:rPr>
        <w:t>the spins in a given magnetic ﬁeld, they observe a magnetic hysteresis and remanence of an ensemble of Ho atoms. In combination with calculations, they convincingly demonstrate that the observed remanence results from the protection</w:t>
      </w:r>
      <w:r>
        <w:rPr>
          <w:color w:val="231F20"/>
          <w:sz w:val="24"/>
        </w:rPr>
        <w:t xml:space="preserve"> </w:t>
      </w:r>
      <w:r w:rsidRPr="00993E81">
        <w:rPr>
          <w:color w:val="231F20"/>
          <w:sz w:val="24"/>
        </w:rPr>
        <w:t>of the Ho ground states from single-electron processes by the four-fold symmetry (see the ﬁgure, panel B), which only allows for higher-order processes involving two or more electrons—an observation that they corroborate with measurements on varying thicknesses of the MgO insulating layer. The localized nature of its 4</w:t>
      </w:r>
      <w:r>
        <w:rPr>
          <w:color w:val="231F20"/>
          <w:sz w:val="24"/>
        </w:rPr>
        <w:t>ƒ</w:t>
      </w:r>
      <w:r w:rsidRPr="00993E81">
        <w:rPr>
          <w:color w:val="231F20"/>
          <w:sz w:val="24"/>
        </w:rPr>
        <w:t xml:space="preserve"> orbitals and a</w:t>
      </w:r>
      <w:r>
        <w:rPr>
          <w:color w:val="231F20"/>
          <w:sz w:val="24"/>
        </w:rPr>
        <w:t xml:space="preserve"> </w:t>
      </w:r>
      <w:r w:rsidRPr="00993E81">
        <w:rPr>
          <w:color w:val="231F20"/>
          <w:sz w:val="24"/>
        </w:rPr>
        <w:t>few</w:t>
      </w:r>
      <w:r>
        <w:rPr>
          <w:color w:val="231F20"/>
          <w:sz w:val="24"/>
        </w:rPr>
        <w:t xml:space="preserve"> </w:t>
      </w:r>
      <w:r w:rsidRPr="00993E81">
        <w:rPr>
          <w:color w:val="231F20"/>
          <w:sz w:val="24"/>
        </w:rPr>
        <w:t>atomic</w:t>
      </w:r>
      <w:r>
        <w:rPr>
          <w:color w:val="231F20"/>
          <w:sz w:val="24"/>
        </w:rPr>
        <w:t xml:space="preserve"> </w:t>
      </w:r>
      <w:r w:rsidRPr="00993E81">
        <w:rPr>
          <w:color w:val="231F20"/>
          <w:sz w:val="24"/>
        </w:rPr>
        <w:t>layers</w:t>
      </w:r>
      <w:r>
        <w:rPr>
          <w:color w:val="231F20"/>
          <w:sz w:val="24"/>
        </w:rPr>
        <w:t xml:space="preserve"> </w:t>
      </w:r>
      <w:r w:rsidRPr="00993E81">
        <w:rPr>
          <w:color w:val="231F20"/>
          <w:sz w:val="24"/>
        </w:rPr>
        <w:t>of</w:t>
      </w:r>
      <w:r>
        <w:rPr>
          <w:color w:val="231F20"/>
          <w:sz w:val="24"/>
        </w:rPr>
        <w:t xml:space="preserve"> </w:t>
      </w:r>
      <w:r w:rsidRPr="00993E81">
        <w:rPr>
          <w:color w:val="231F20"/>
          <w:sz w:val="24"/>
        </w:rPr>
        <w:t>MgO</w:t>
      </w:r>
      <w:r>
        <w:rPr>
          <w:color w:val="231F20"/>
          <w:sz w:val="24"/>
        </w:rPr>
        <w:t xml:space="preserve"> </w:t>
      </w:r>
      <w:r w:rsidRPr="00993E81">
        <w:rPr>
          <w:color w:val="231F20"/>
          <w:sz w:val="24"/>
        </w:rPr>
        <w:t>are</w:t>
      </w:r>
      <w:r>
        <w:rPr>
          <w:color w:val="231F20"/>
          <w:sz w:val="24"/>
        </w:rPr>
        <w:t xml:space="preserve"> </w:t>
      </w:r>
      <w:r w:rsidRPr="00993E81">
        <w:rPr>
          <w:color w:val="231F20"/>
          <w:sz w:val="24"/>
        </w:rPr>
        <w:t>sufcient to decouple the Ho moment from the silver metallic electrode, making electron scattering processes as well as phonon excitations highly improbable and thereby establishing a single-atom magnet.</w:t>
      </w:r>
    </w:p>
    <w:p w:rsidR="00645FF7" w:rsidRDefault="00645FF7" w:rsidP="00760AF3">
      <w:pPr>
        <w:pStyle w:val="BodyText"/>
        <w:ind w:firstLine="500"/>
        <w:jc w:val="both"/>
        <w:rPr>
          <w:color w:val="231F20"/>
          <w:sz w:val="24"/>
        </w:rPr>
      </w:pPr>
      <w:r w:rsidRPr="00993E81">
        <w:rPr>
          <w:color w:val="231F20"/>
          <w:sz w:val="24"/>
        </w:rPr>
        <w:t>The stability of a single Ho atom on MgO is more robust than one of the best-known molecular magnets (</w:t>
      </w:r>
      <w:r w:rsidR="00266F52" w:rsidRPr="00A96ECC">
        <w:rPr>
          <w:rStyle w:val="EndnoteReference"/>
          <w:sz w:val="24"/>
        </w:rPr>
        <w:endnoteReference w:id="21"/>
      </w:r>
      <w:r w:rsidRPr="00993E81">
        <w:rPr>
          <w:color w:val="231F20"/>
          <w:sz w:val="24"/>
        </w:rPr>
        <w:t>). Theoretically, the symmetry protection shown here is not element-speciﬁc, necessitating further investigations with both XMCD and down to an individual atom with spin-resolved STM. It will be imperative to investigate whether remanence can be seen at higher temperatures</w:t>
      </w:r>
      <w:r>
        <w:rPr>
          <w:color w:val="231F20"/>
          <w:sz w:val="24"/>
        </w:rPr>
        <w:t xml:space="preserve"> </w:t>
      </w:r>
      <w:r w:rsidRPr="00993E81">
        <w:rPr>
          <w:color w:val="231F20"/>
          <w:sz w:val="24"/>
        </w:rPr>
        <w:t>for viable application, and whether single atoms can be read and written one at a time with electrical current (</w:t>
      </w:r>
      <w:r w:rsidR="004B0DCA" w:rsidRPr="004B0DCA">
        <w:rPr>
          <w:rStyle w:val="EndnoteReference"/>
          <w:sz w:val="24"/>
        </w:rPr>
        <w:fldChar w:fldCharType="begin"/>
      </w:r>
      <w:r w:rsidR="004B0DCA" w:rsidRPr="004B0DCA">
        <w:rPr>
          <w:rStyle w:val="EndnoteReference"/>
          <w:sz w:val="24"/>
        </w:rPr>
        <w:instrText xml:space="preserve"> NOTEREF _Ref523941478 \h  \* MERGEFORMAT </w:instrText>
      </w:r>
      <w:r w:rsidR="004B0DCA" w:rsidRPr="004B0DCA">
        <w:rPr>
          <w:rStyle w:val="EndnoteReference"/>
          <w:sz w:val="24"/>
        </w:rPr>
      </w:r>
      <w:r w:rsidR="004B0DCA" w:rsidRPr="004B0DCA">
        <w:rPr>
          <w:rStyle w:val="EndnoteReference"/>
          <w:sz w:val="24"/>
        </w:rPr>
        <w:fldChar w:fldCharType="separate"/>
      </w:r>
      <w:r w:rsidR="004B0DCA" w:rsidRPr="004B0DCA">
        <w:rPr>
          <w:rStyle w:val="EndnoteReference"/>
          <w:sz w:val="24"/>
        </w:rPr>
        <w:t>1</w:t>
      </w:r>
      <w:r w:rsidR="004B0DCA" w:rsidRPr="004B0DCA">
        <w:rPr>
          <w:rStyle w:val="EndnoteReference"/>
          <w:sz w:val="24"/>
        </w:rPr>
        <w:fldChar w:fldCharType="end"/>
      </w:r>
      <w:r w:rsidR="004B0DCA" w:rsidRPr="004B0DCA">
        <w:rPr>
          <w:color w:val="231F20"/>
          <w:sz w:val="24"/>
        </w:rPr>
        <w:t xml:space="preserve">, </w:t>
      </w:r>
      <w:r w:rsidR="004B0DCA" w:rsidRPr="004B0DCA">
        <w:rPr>
          <w:rStyle w:val="EndnoteReference"/>
          <w:sz w:val="24"/>
        </w:rPr>
        <w:fldChar w:fldCharType="begin"/>
      </w:r>
      <w:r w:rsidR="004B0DCA" w:rsidRPr="004B0DCA">
        <w:rPr>
          <w:rStyle w:val="EndnoteReference"/>
          <w:sz w:val="24"/>
        </w:rPr>
        <w:instrText xml:space="preserve"> NOTEREF _Ref523941499 \h  \* MERGEFORMAT </w:instrText>
      </w:r>
      <w:r w:rsidR="004B0DCA" w:rsidRPr="004B0DCA">
        <w:rPr>
          <w:rStyle w:val="EndnoteReference"/>
          <w:sz w:val="24"/>
        </w:rPr>
      </w:r>
      <w:r w:rsidR="004B0DCA" w:rsidRPr="004B0DCA">
        <w:rPr>
          <w:rStyle w:val="EndnoteReference"/>
          <w:sz w:val="24"/>
        </w:rPr>
        <w:fldChar w:fldCharType="separate"/>
      </w:r>
      <w:r w:rsidR="004B0DCA" w:rsidRPr="004B0DCA">
        <w:rPr>
          <w:rStyle w:val="EndnoteReference"/>
          <w:sz w:val="24"/>
        </w:rPr>
        <w:t>2</w:t>
      </w:r>
      <w:r w:rsidR="004B0DCA" w:rsidRPr="004B0DCA">
        <w:rPr>
          <w:rStyle w:val="EndnoteReference"/>
          <w:sz w:val="24"/>
        </w:rPr>
        <w:fldChar w:fldCharType="end"/>
      </w:r>
      <w:r w:rsidRPr="00993E81">
        <w:rPr>
          <w:color w:val="231F20"/>
          <w:sz w:val="24"/>
        </w:rPr>
        <w:t xml:space="preserve">). Toward this end, experiments focusing on the dynamical manipulation of an individual atomic spin will be central to eforts to develop single-atom magnets for quantum </w:t>
      </w:r>
      <w:r w:rsidRPr="00993E81">
        <w:rPr>
          <w:color w:val="231F20"/>
          <w:sz w:val="24"/>
        </w:rPr>
        <w:lastRenderedPageBreak/>
        <w:t>memory and processing technology (</w:t>
      </w:r>
      <w:r w:rsidR="00266F52" w:rsidRPr="00A96ECC">
        <w:rPr>
          <w:rStyle w:val="EndnoteReference"/>
          <w:sz w:val="24"/>
        </w:rPr>
        <w:endnoteReference w:id="22"/>
      </w:r>
      <w:r w:rsidRPr="00993E81">
        <w:rPr>
          <w:color w:val="231F20"/>
          <w:sz w:val="24"/>
        </w:rPr>
        <w:t>). The present work strongly suggests that arrays of single-atom magnets may be used for future memory devices. Such work could also be extended to spin-logic operations with single atoms (</w:t>
      </w:r>
      <w:r w:rsidR="00266F52" w:rsidRPr="00A96ECC">
        <w:rPr>
          <w:rStyle w:val="EndnoteReference"/>
          <w:sz w:val="24"/>
        </w:rPr>
        <w:endnoteReference w:id="23"/>
      </w:r>
      <w:r w:rsidRPr="00993E81">
        <w:rPr>
          <w:color w:val="231F20"/>
          <w:sz w:val="24"/>
        </w:rPr>
        <w:t>), provided that a suitable route toward magnetic coupling between such spin centers can be engineered.</w:t>
      </w:r>
    </w:p>
    <w:p w:rsidR="00645FF7" w:rsidRDefault="00645FF7" w:rsidP="00760AF3">
      <w:pPr>
        <w:pStyle w:val="BodyText"/>
        <w:ind w:firstLine="500"/>
        <w:jc w:val="both"/>
        <w:rPr>
          <w:color w:val="231F20"/>
          <w:sz w:val="24"/>
        </w:rPr>
      </w:pPr>
    </w:p>
    <w:p w:rsidR="00645FF7" w:rsidRDefault="00645FF7" w:rsidP="00760AF3">
      <w:pPr>
        <w:adjustRightInd w:val="0"/>
        <w:rPr>
          <w:rFonts w:ascii="BentonSans-Bold" w:hAnsi="BentonSans-Bold" w:cs="BentonSans-Bold"/>
          <w:b/>
          <w:bCs/>
          <w:sz w:val="24"/>
          <w:szCs w:val="12"/>
        </w:rPr>
      </w:pPr>
      <w:r w:rsidRPr="007A5153">
        <w:rPr>
          <w:rFonts w:ascii="BentonSans-Bold" w:hAnsi="BentonSans-Bold" w:cs="BentonSans-Bold"/>
          <w:b/>
          <w:bCs/>
          <w:sz w:val="24"/>
          <w:szCs w:val="12"/>
        </w:rPr>
        <w:t>REFERENCES</w:t>
      </w:r>
      <w:bookmarkEnd w:id="1"/>
      <w:bookmarkEnd w:id="2"/>
    </w:p>
    <w:sectPr w:rsidR="00645FF7" w:rsidSect="00760AF3">
      <w:footnotePr>
        <w:numRestart w:val="eachSect"/>
      </w:footnotePr>
      <w:endnotePr>
        <w:numFmt w:val="decimal"/>
        <w:numRestart w:val="eachSect"/>
      </w:endnotePr>
      <w:pgSz w:w="11906" w:h="16838"/>
      <w:pgMar w:top="500" w:right="500" w:bottom="500" w:left="5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2BAB" w:rsidRDefault="00472BAB" w:rsidP="00760AF3">
      <w:pPr>
        <w:spacing w:after="0" w:line="240" w:lineRule="auto"/>
      </w:pPr>
      <w:r>
        <w:separator/>
      </w:r>
    </w:p>
  </w:endnote>
  <w:endnote w:type="continuationSeparator" w:id="0">
    <w:p w:rsidR="00472BAB" w:rsidRDefault="00472BAB" w:rsidP="00760AF3">
      <w:pPr>
        <w:spacing w:after="0" w:line="240" w:lineRule="auto"/>
      </w:pPr>
      <w:r>
        <w:continuationSeparator/>
      </w:r>
    </w:p>
  </w:endnote>
  <w:endnote w:id="1">
    <w:p w:rsidR="00266F52" w:rsidRDefault="00266F52" w:rsidP="00645FF7">
      <w:pPr>
        <w:pStyle w:val="EndnoteText"/>
      </w:pPr>
      <w:r w:rsidRPr="00A96ECC">
        <w:rPr>
          <w:rStyle w:val="EndnoteReference"/>
          <w:sz w:val="24"/>
        </w:rPr>
        <w:endnoteRef/>
      </w:r>
      <w:r>
        <w:t xml:space="preserve"> C. Ferrari </w:t>
      </w:r>
      <w:r w:rsidRPr="00875D2F">
        <w:rPr>
          <w:i/>
        </w:rPr>
        <w:t>et al., Nanoscale 7</w:t>
      </w:r>
      <w:r>
        <w:t>, 4598 (2014).</w:t>
      </w:r>
    </w:p>
  </w:endnote>
  <w:endnote w:id="2">
    <w:p w:rsidR="00266F52" w:rsidRDefault="00266F52" w:rsidP="00645FF7">
      <w:pPr>
        <w:pStyle w:val="EndnoteText"/>
      </w:pPr>
      <w:r w:rsidRPr="00A96ECC">
        <w:rPr>
          <w:rStyle w:val="EndnoteReference"/>
          <w:sz w:val="24"/>
        </w:rPr>
        <w:endnoteRef/>
      </w:r>
      <w:r>
        <w:t xml:space="preserve"> J. Sofo,A. Chaudhari, G. Barber, </w:t>
      </w:r>
      <w:r w:rsidRPr="00875D2F">
        <w:rPr>
          <w:i/>
        </w:rPr>
        <w:t>Phys. Rev. B 75</w:t>
      </w:r>
      <w:r>
        <w:t>, 153401 (2007).</w:t>
      </w:r>
    </w:p>
  </w:endnote>
  <w:endnote w:id="3">
    <w:p w:rsidR="00266F52" w:rsidRDefault="00266F52" w:rsidP="00645FF7">
      <w:pPr>
        <w:pStyle w:val="EndnoteText"/>
      </w:pPr>
      <w:r w:rsidRPr="00A96ECC">
        <w:rPr>
          <w:rStyle w:val="EndnoteReference"/>
          <w:sz w:val="24"/>
        </w:rPr>
        <w:endnoteRef/>
      </w:r>
      <w:r>
        <w:t xml:space="preserve"> O.V.Yazyev, </w:t>
      </w:r>
      <w:r w:rsidRPr="00875D2F">
        <w:rPr>
          <w:i/>
        </w:rPr>
        <w:t xml:space="preserve">Rep. Prog. Phys. </w:t>
      </w:r>
      <w:r w:rsidRPr="00756A8F">
        <w:t>73</w:t>
      </w:r>
      <w:r>
        <w:t>, 056501 (2010).</w:t>
      </w:r>
    </w:p>
  </w:endnote>
  <w:endnote w:id="4">
    <w:p w:rsidR="00266F52" w:rsidRDefault="00266F52" w:rsidP="00645FF7">
      <w:pPr>
        <w:pStyle w:val="EndnoteText"/>
      </w:pPr>
      <w:r w:rsidRPr="00A96ECC">
        <w:rPr>
          <w:rStyle w:val="EndnoteReference"/>
          <w:sz w:val="24"/>
        </w:rPr>
        <w:endnoteRef/>
      </w:r>
      <w:r>
        <w:t xml:space="preserve"> J. Zhou </w:t>
      </w:r>
      <w:r w:rsidRPr="00875D2F">
        <w:rPr>
          <w:i/>
        </w:rPr>
        <w:t>et al., Nano Letters</w:t>
      </w:r>
      <w:r>
        <w:t xml:space="preserve"> 9, 3867 (2009).</w:t>
      </w:r>
    </w:p>
  </w:endnote>
  <w:endnote w:id="5">
    <w:p w:rsidR="00266F52" w:rsidRDefault="00266F52" w:rsidP="00645FF7">
      <w:pPr>
        <w:pStyle w:val="EndnoteText"/>
      </w:pPr>
      <w:r w:rsidRPr="00A96ECC">
        <w:rPr>
          <w:rStyle w:val="EndnoteReference"/>
          <w:sz w:val="24"/>
        </w:rPr>
        <w:endnoteRef/>
      </w:r>
      <w:r>
        <w:t xml:space="preserve"> H. González-Herrero, </w:t>
      </w:r>
      <w:r w:rsidRPr="00756A8F">
        <w:rPr>
          <w:i/>
        </w:rPr>
        <w:t xml:space="preserve">Science </w:t>
      </w:r>
      <w:r>
        <w:t>352, 437 (2016).</w:t>
      </w:r>
    </w:p>
  </w:endnote>
  <w:endnote w:id="6">
    <w:p w:rsidR="00266F52" w:rsidRDefault="00266F52" w:rsidP="00645FF7">
      <w:pPr>
        <w:pStyle w:val="EndnoteText"/>
      </w:pPr>
      <w:r w:rsidRPr="00A96ECC">
        <w:rPr>
          <w:rStyle w:val="EndnoteReference"/>
          <w:sz w:val="24"/>
        </w:rPr>
        <w:endnoteRef/>
      </w:r>
      <w:r>
        <w:t xml:space="preserve"> T. L. Makarova </w:t>
      </w:r>
      <w:r w:rsidRPr="00756A8F">
        <w:rPr>
          <w:i/>
        </w:rPr>
        <w:t>et al., Nature</w:t>
      </w:r>
      <w:r>
        <w:t xml:space="preserve"> 413, 716 (2001).</w:t>
      </w:r>
    </w:p>
  </w:endnote>
  <w:endnote w:id="7">
    <w:p w:rsidR="00266F52" w:rsidRDefault="00266F52" w:rsidP="00645FF7">
      <w:pPr>
        <w:pStyle w:val="EndnoteText"/>
      </w:pPr>
      <w:r w:rsidRPr="00A96ECC">
        <w:rPr>
          <w:rStyle w:val="EndnoteReference"/>
          <w:sz w:val="24"/>
        </w:rPr>
        <w:endnoteRef/>
      </w:r>
      <w:r>
        <w:t xml:space="preserve"> T. L. Makarova </w:t>
      </w:r>
      <w:r w:rsidRPr="00756A8F">
        <w:rPr>
          <w:i/>
        </w:rPr>
        <w:t>et al., Nature</w:t>
      </w:r>
      <w:r>
        <w:t xml:space="preserve"> 440, 707 (2006).</w:t>
      </w:r>
    </w:p>
  </w:endnote>
  <w:endnote w:id="8">
    <w:p w:rsidR="00266F52" w:rsidRDefault="00266F52" w:rsidP="00645FF7">
      <w:pPr>
        <w:pStyle w:val="EndnoteText"/>
      </w:pPr>
      <w:r w:rsidRPr="00A96ECC">
        <w:rPr>
          <w:rStyle w:val="EndnoteReference"/>
          <w:sz w:val="24"/>
        </w:rPr>
        <w:endnoteRef/>
      </w:r>
      <w:r>
        <w:t xml:space="preserve"> P. Esquinazi </w:t>
      </w:r>
      <w:r w:rsidRPr="00756A8F">
        <w:rPr>
          <w:i/>
        </w:rPr>
        <w:t>et al., Phys. Rev. Lett.</w:t>
      </w:r>
      <w:r>
        <w:t xml:space="preserve"> 91, 227201 (2003).</w:t>
      </w:r>
    </w:p>
  </w:endnote>
  <w:endnote w:id="9">
    <w:p w:rsidR="00266F52" w:rsidRDefault="00266F52" w:rsidP="00645FF7">
      <w:pPr>
        <w:pStyle w:val="EndnoteText"/>
      </w:pPr>
      <w:r w:rsidRPr="00A96ECC">
        <w:rPr>
          <w:rStyle w:val="EndnoteReference"/>
          <w:sz w:val="24"/>
        </w:rPr>
        <w:endnoteRef/>
      </w:r>
      <w:r>
        <w:t xml:space="preserve"> K. M. McCreary </w:t>
      </w:r>
      <w:r w:rsidRPr="00756A8F">
        <w:rPr>
          <w:i/>
        </w:rPr>
        <w:t>et al., Phys. Rev. Lett.</w:t>
      </w:r>
      <w:r>
        <w:t xml:space="preserve"> 109, 186604 (2012).</w:t>
      </w:r>
    </w:p>
  </w:endnote>
  <w:endnote w:id="10">
    <w:p w:rsidR="00266F52" w:rsidRDefault="00266F52" w:rsidP="00645FF7">
      <w:pPr>
        <w:pStyle w:val="EndnoteText"/>
      </w:pPr>
      <w:r w:rsidRPr="00A96ECC">
        <w:rPr>
          <w:rStyle w:val="EndnoteReference"/>
          <w:sz w:val="24"/>
        </w:rPr>
        <w:endnoteRef/>
      </w:r>
      <w:r>
        <w:t xml:space="preserve"> R. R. Nair </w:t>
      </w:r>
      <w:r w:rsidRPr="00756A8F">
        <w:rPr>
          <w:i/>
        </w:rPr>
        <w:t>et al., Nature Phys.</w:t>
      </w:r>
      <w:r>
        <w:t xml:space="preserve"> 8, 199 (2012).</w:t>
      </w:r>
    </w:p>
    <w:p w:rsidR="00266F52" w:rsidRDefault="00266F52" w:rsidP="00645FF7">
      <w:pPr>
        <w:pStyle w:val="EndnoteText"/>
      </w:pPr>
      <w:r>
        <w:rPr>
          <w:b/>
          <w:i/>
          <w:color w:val="231F20"/>
          <w:spacing w:val="-19"/>
          <w:sz w:val="56"/>
        </w:rPr>
        <w:br w:type="page"/>
      </w:r>
    </w:p>
  </w:endnote>
  <w:endnote w:id="11">
    <w:p w:rsidR="00266F52" w:rsidRDefault="00266F52" w:rsidP="00266F52">
      <w:pPr>
        <w:pStyle w:val="EndnoteText"/>
      </w:pPr>
      <w:r w:rsidRPr="00A96ECC">
        <w:rPr>
          <w:rStyle w:val="EndnoteReference"/>
          <w:sz w:val="24"/>
        </w:rPr>
        <w:endnoteRef/>
      </w:r>
      <w:r>
        <w:t xml:space="preserve"> </w:t>
      </w:r>
      <w:r w:rsidRPr="00D11A21">
        <w:t xml:space="preserve">A. Khajetoorians </w:t>
      </w:r>
      <w:r w:rsidRPr="00371952">
        <w:rPr>
          <w:i/>
        </w:rPr>
        <w:t>et al., Science</w:t>
      </w:r>
      <w:r w:rsidRPr="00D11A21">
        <w:t xml:space="preserve"> 339, 55 (2013).</w:t>
      </w:r>
    </w:p>
  </w:endnote>
  <w:endnote w:id="12">
    <w:p w:rsidR="00266F52" w:rsidRDefault="00266F52" w:rsidP="00266F52">
      <w:pPr>
        <w:pStyle w:val="EndnoteText"/>
      </w:pPr>
      <w:r w:rsidRPr="00A96ECC">
        <w:rPr>
          <w:rStyle w:val="EndnoteReference"/>
          <w:sz w:val="24"/>
        </w:rPr>
        <w:endnoteRef/>
      </w:r>
      <w:r>
        <w:t xml:space="preserve"> </w:t>
      </w:r>
      <w:r w:rsidRPr="00D11A21">
        <w:t xml:space="preserve">S. Loth, S. Baumann, C. P. Lutz, D. M. Eigler, A. J. Heinrich, </w:t>
      </w:r>
      <w:r w:rsidRPr="00371952">
        <w:rPr>
          <w:i/>
        </w:rPr>
        <w:t>Science</w:t>
      </w:r>
      <w:r w:rsidRPr="00D11A21">
        <w:t xml:space="preserve"> 335, 196 (2012).</w:t>
      </w:r>
    </w:p>
  </w:endnote>
  <w:endnote w:id="13">
    <w:p w:rsidR="00266F52" w:rsidRDefault="00266F52" w:rsidP="00266F52">
      <w:pPr>
        <w:pStyle w:val="EndnoteText"/>
      </w:pPr>
      <w:r w:rsidRPr="00A96ECC">
        <w:rPr>
          <w:rStyle w:val="EndnoteReference"/>
          <w:sz w:val="24"/>
        </w:rPr>
        <w:endnoteRef/>
      </w:r>
      <w:r>
        <w:t xml:space="preserve"> </w:t>
      </w:r>
      <w:r w:rsidRPr="00D11A21">
        <w:t xml:space="preserve">T. Miyamachi </w:t>
      </w:r>
      <w:r w:rsidRPr="00371952">
        <w:rPr>
          <w:i/>
        </w:rPr>
        <w:t>et al., Nature</w:t>
      </w:r>
      <w:r w:rsidRPr="00D11A21">
        <w:t xml:space="preserve"> 503, 242 (2013).</w:t>
      </w:r>
    </w:p>
  </w:endnote>
  <w:endnote w:id="14">
    <w:p w:rsidR="00266F52" w:rsidRDefault="00266F52" w:rsidP="00266F52">
      <w:pPr>
        <w:pStyle w:val="EndnoteText"/>
      </w:pPr>
      <w:r w:rsidRPr="00A96ECC">
        <w:rPr>
          <w:rStyle w:val="EndnoteReference"/>
          <w:sz w:val="24"/>
        </w:rPr>
        <w:endnoteRef/>
      </w:r>
      <w:r>
        <w:t xml:space="preserve"> </w:t>
      </w:r>
      <w:r w:rsidRPr="00D11A21">
        <w:t xml:space="preserve">F. Donati </w:t>
      </w:r>
      <w:r w:rsidRPr="00371952">
        <w:rPr>
          <w:i/>
        </w:rPr>
        <w:t>et al., Phys. Rev. Lett.</w:t>
      </w:r>
      <w:r w:rsidRPr="00D11A21">
        <w:t xml:space="preserve"> 113, 237201 (2014).</w:t>
      </w:r>
    </w:p>
  </w:endnote>
  <w:endnote w:id="15">
    <w:p w:rsidR="00266F52" w:rsidRDefault="00266F52" w:rsidP="00266F52">
      <w:pPr>
        <w:pStyle w:val="EndnoteText"/>
      </w:pPr>
      <w:r w:rsidRPr="00A96ECC">
        <w:rPr>
          <w:rStyle w:val="EndnoteReference"/>
          <w:sz w:val="24"/>
        </w:rPr>
        <w:endnoteRef/>
      </w:r>
      <w:r>
        <w:t xml:space="preserve"> </w:t>
      </w:r>
      <w:r w:rsidRPr="00D11A21">
        <w:t xml:space="preserve">M. Steinbrecher </w:t>
      </w:r>
      <w:r w:rsidRPr="00371952">
        <w:rPr>
          <w:i/>
        </w:rPr>
        <w:t>et al., Nat. Commun.</w:t>
      </w:r>
      <w:r w:rsidRPr="00D11A21">
        <w:t xml:space="preserve"> 10.1038/ncomms10454 (2016).</w:t>
      </w:r>
    </w:p>
  </w:endnote>
  <w:endnote w:id="16">
    <w:p w:rsidR="00266F52" w:rsidRDefault="00266F52" w:rsidP="00266F52">
      <w:pPr>
        <w:pStyle w:val="EndnoteText"/>
      </w:pPr>
      <w:r w:rsidRPr="00A96ECC">
        <w:rPr>
          <w:rStyle w:val="EndnoteReference"/>
          <w:sz w:val="24"/>
        </w:rPr>
        <w:endnoteRef/>
      </w:r>
      <w:r>
        <w:t xml:space="preserve"> </w:t>
      </w:r>
      <w:r w:rsidRPr="00D11A21">
        <w:t xml:space="preserve">F. Donati </w:t>
      </w:r>
      <w:r w:rsidRPr="00371952">
        <w:rPr>
          <w:i/>
        </w:rPr>
        <w:t>et al., Science</w:t>
      </w:r>
      <w:r w:rsidRPr="00D11A21">
        <w:t xml:space="preserve"> 352, 318 (2016).</w:t>
      </w:r>
    </w:p>
  </w:endnote>
  <w:endnote w:id="17">
    <w:p w:rsidR="00266F52" w:rsidRDefault="00266F52" w:rsidP="00266F52">
      <w:pPr>
        <w:pStyle w:val="EndnoteText"/>
      </w:pPr>
      <w:r w:rsidRPr="00A96ECC">
        <w:rPr>
          <w:rStyle w:val="EndnoteReference"/>
          <w:sz w:val="24"/>
        </w:rPr>
        <w:endnoteRef/>
      </w:r>
      <w:r>
        <w:t xml:space="preserve"> </w:t>
      </w:r>
      <w:r w:rsidRPr="00D11A21">
        <w:t xml:space="preserve">P. Gambardella </w:t>
      </w:r>
      <w:r w:rsidRPr="00371952">
        <w:rPr>
          <w:i/>
        </w:rPr>
        <w:t>et al., Science</w:t>
      </w:r>
      <w:r w:rsidRPr="00D11A21">
        <w:t xml:space="preserve"> 300, 1130 (2003).</w:t>
      </w:r>
    </w:p>
  </w:endnote>
  <w:endnote w:id="18">
    <w:p w:rsidR="00266F52" w:rsidRDefault="00266F52" w:rsidP="00266F52">
      <w:pPr>
        <w:pStyle w:val="EndnoteText"/>
      </w:pPr>
      <w:r w:rsidRPr="00A96ECC">
        <w:rPr>
          <w:rStyle w:val="EndnoteReference"/>
          <w:sz w:val="24"/>
        </w:rPr>
        <w:endnoteRef/>
      </w:r>
      <w:r>
        <w:t xml:space="preserve"> </w:t>
      </w:r>
      <w:r w:rsidRPr="00D11A21">
        <w:t xml:space="preserve">F. Meier, L. Zhou, J. Wiebe, R. Wiesendanger, </w:t>
      </w:r>
      <w:r w:rsidRPr="00371952">
        <w:rPr>
          <w:i/>
        </w:rPr>
        <w:t>Science</w:t>
      </w:r>
      <w:r w:rsidRPr="00D11A21">
        <w:t xml:space="preserve"> 320, 82 (2008).</w:t>
      </w:r>
    </w:p>
  </w:endnote>
  <w:endnote w:id="19">
    <w:p w:rsidR="00266F52" w:rsidRDefault="00266F52" w:rsidP="00266F52">
      <w:pPr>
        <w:pStyle w:val="EndnoteText"/>
      </w:pPr>
      <w:r w:rsidRPr="00A96ECC">
        <w:rPr>
          <w:rStyle w:val="EndnoteReference"/>
          <w:sz w:val="24"/>
        </w:rPr>
        <w:endnoteRef/>
      </w:r>
      <w:r>
        <w:t xml:space="preserve"> </w:t>
      </w:r>
      <w:r w:rsidRPr="00D11A21">
        <w:t xml:space="preserve">G. Rau </w:t>
      </w:r>
      <w:r w:rsidRPr="00371952">
        <w:rPr>
          <w:i/>
        </w:rPr>
        <w:t>et al., Science</w:t>
      </w:r>
      <w:r w:rsidRPr="00D11A21">
        <w:t xml:space="preserve"> 344, 988 (2014).</w:t>
      </w:r>
    </w:p>
  </w:endnote>
  <w:endnote w:id="20">
    <w:p w:rsidR="00266F52" w:rsidRDefault="00266F52" w:rsidP="00266F52">
      <w:pPr>
        <w:pStyle w:val="EndnoteText"/>
      </w:pPr>
      <w:r w:rsidRPr="00A96ECC">
        <w:rPr>
          <w:rStyle w:val="EndnoteReference"/>
          <w:sz w:val="24"/>
        </w:rPr>
        <w:endnoteRef/>
      </w:r>
      <w:r>
        <w:t xml:space="preserve"> </w:t>
      </w:r>
      <w:r w:rsidRPr="00D11A21">
        <w:t>H</w:t>
      </w:r>
      <w:r w:rsidRPr="00371952">
        <w:t>ü</w:t>
      </w:r>
      <w:r w:rsidRPr="00D11A21">
        <w:t xml:space="preserve">bner, B. Baxevanis, A. A. Khajetoorians, D. Pfannkuche, </w:t>
      </w:r>
      <w:r w:rsidRPr="00371952">
        <w:rPr>
          <w:i/>
        </w:rPr>
        <w:t>Phys. Rev.</w:t>
      </w:r>
      <w:r w:rsidRPr="00D11A21">
        <w:t xml:space="preserve"> </w:t>
      </w:r>
      <w:r w:rsidRPr="00371952">
        <w:rPr>
          <w:i/>
        </w:rPr>
        <w:t>B</w:t>
      </w:r>
      <w:r w:rsidRPr="00D11A21">
        <w:t xml:space="preserve"> 90, 155134 (2014).</w:t>
      </w:r>
    </w:p>
  </w:endnote>
  <w:endnote w:id="21">
    <w:p w:rsidR="00266F52" w:rsidRDefault="00266F52" w:rsidP="00266F52">
      <w:pPr>
        <w:pStyle w:val="EndnoteText"/>
      </w:pPr>
      <w:r w:rsidRPr="00A96ECC">
        <w:rPr>
          <w:rStyle w:val="EndnoteReference"/>
          <w:sz w:val="24"/>
        </w:rPr>
        <w:endnoteRef/>
      </w:r>
      <w:r>
        <w:t xml:space="preserve"> </w:t>
      </w:r>
      <w:r w:rsidRPr="00D11A21">
        <w:t xml:space="preserve">K. R. Meihaus, J. R. Long, </w:t>
      </w:r>
      <w:r w:rsidRPr="00371952">
        <w:rPr>
          <w:i/>
        </w:rPr>
        <w:t>J. Am. Chem. Soc.</w:t>
      </w:r>
      <w:r w:rsidRPr="00D11A21">
        <w:t xml:space="preserve"> 135, 17952 (2013).</w:t>
      </w:r>
    </w:p>
  </w:endnote>
  <w:endnote w:id="22">
    <w:p w:rsidR="00266F52" w:rsidRDefault="00266F52" w:rsidP="00266F52">
      <w:pPr>
        <w:pStyle w:val="EndnoteText"/>
      </w:pPr>
      <w:r w:rsidRPr="00A96ECC">
        <w:rPr>
          <w:rStyle w:val="EndnoteReference"/>
          <w:sz w:val="24"/>
        </w:rPr>
        <w:endnoteRef/>
      </w:r>
      <w:r>
        <w:t xml:space="preserve"> </w:t>
      </w:r>
      <w:r w:rsidRPr="00D11A21">
        <w:t xml:space="preserve">S. Baumann </w:t>
      </w:r>
      <w:r w:rsidRPr="00371952">
        <w:rPr>
          <w:i/>
        </w:rPr>
        <w:t>et al., Science</w:t>
      </w:r>
      <w:r w:rsidRPr="00D11A21">
        <w:t xml:space="preserve"> 350, 417 (2015).</w:t>
      </w:r>
    </w:p>
  </w:endnote>
  <w:endnote w:id="23">
    <w:p w:rsidR="00266F52" w:rsidRDefault="00266F52" w:rsidP="00266F52">
      <w:pPr>
        <w:pStyle w:val="EndnoteText"/>
      </w:pPr>
      <w:r w:rsidRPr="00A96ECC">
        <w:rPr>
          <w:rStyle w:val="EndnoteReference"/>
          <w:sz w:val="24"/>
        </w:rPr>
        <w:endnoteRef/>
      </w:r>
      <w:r>
        <w:t xml:space="preserve"> </w:t>
      </w:r>
      <w:r w:rsidRPr="00D11A21">
        <w:t xml:space="preserve">A. Khajetoorians, J. Wiebe, B. Chilian, R. Wiesendanger, </w:t>
      </w:r>
      <w:r w:rsidRPr="00371952">
        <w:rPr>
          <w:i/>
        </w:rPr>
        <w:t>Science</w:t>
      </w:r>
      <w:r w:rsidRPr="00D11A21">
        <w:t xml:space="preserve"> 332, 1062 (2011).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Georgia">
    <w:altName w:val="Georgia"/>
    <w:panose1 w:val="02040502050405020303"/>
    <w:charset w:val="CC"/>
    <w:family w:val="roman"/>
    <w:pitch w:val="variable"/>
    <w:sig w:usb0="00000287" w:usb1="00000000" w:usb2="00000000" w:usb3="00000000" w:csb0="0000009F" w:csb1="00000000"/>
  </w:font>
  <w:font w:name="BentonSansCondensed-Bold">
    <w:altName w:val="Calibri"/>
    <w:panose1 w:val="00000000000000000000"/>
    <w:charset w:val="00"/>
    <w:family w:val="swiss"/>
    <w:notTrueType/>
    <w:pitch w:val="default"/>
    <w:sig w:usb0="00000003" w:usb1="00000000" w:usb2="00000000" w:usb3="00000000" w:csb0="00000001" w:csb1="00000000"/>
  </w:font>
  <w:font w:name="BentonSansCondensed-Book">
    <w:altName w:val="Calibri"/>
    <w:panose1 w:val="00000000000000000000"/>
    <w:charset w:val="00"/>
    <w:family w:val="swiss"/>
    <w:notTrueType/>
    <w:pitch w:val="default"/>
    <w:sig w:usb0="00000203" w:usb1="00000000" w:usb2="00000000" w:usb3="00000000" w:csb0="00000005" w:csb1="00000000"/>
  </w:font>
  <w:font w:name="BentonSans-Bold">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2BAB" w:rsidRDefault="00472BAB" w:rsidP="00760AF3">
      <w:pPr>
        <w:spacing w:after="0" w:line="240" w:lineRule="auto"/>
      </w:pPr>
      <w:r>
        <w:separator/>
      </w:r>
    </w:p>
  </w:footnote>
  <w:footnote w:type="continuationSeparator" w:id="0">
    <w:p w:rsidR="00472BAB" w:rsidRDefault="00472BAB" w:rsidP="00760A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6131B"/>
    <w:multiLevelType w:val="hybridMultilevel"/>
    <w:tmpl w:val="6084078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2B55B0"/>
    <w:multiLevelType w:val="hybridMultilevel"/>
    <w:tmpl w:val="E32E1B14"/>
    <w:lvl w:ilvl="0" w:tplc="7076CE52">
      <w:start w:val="1"/>
      <w:numFmt w:val="decimal"/>
      <w:lvlText w:val="%1."/>
      <w:lvlJc w:val="left"/>
      <w:pPr>
        <w:ind w:left="720" w:hanging="360"/>
      </w:pPr>
      <w:rPr>
        <w:rFonts w:ascii="Corbel" w:hAnsi="Corbel" w:hint="default"/>
        <w:b w:val="0"/>
        <w:i w:val="0"/>
        <w:sz w:val="22"/>
      </w:rPr>
    </w:lvl>
    <w:lvl w:ilvl="1" w:tplc="BFA81E7A">
      <w:start w:val="1"/>
      <w:numFmt w:val="upperRoman"/>
      <w:lvlText w:val="%2."/>
      <w:lvlJc w:val="left"/>
      <w:pPr>
        <w:ind w:left="1800" w:hanging="720"/>
      </w:pPr>
      <w:rPr>
        <w:rFonts w:hint="default"/>
      </w:rPr>
    </w:lvl>
    <w:lvl w:ilvl="2" w:tplc="340287BC">
      <w:start w:val="1"/>
      <w:numFmt w:val="upp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C02EC6"/>
    <w:multiLevelType w:val="hybridMultilevel"/>
    <w:tmpl w:val="AFC0D6F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386B41"/>
    <w:multiLevelType w:val="hybridMultilevel"/>
    <w:tmpl w:val="E7986560"/>
    <w:lvl w:ilvl="0" w:tplc="7076CE52">
      <w:start w:val="1"/>
      <w:numFmt w:val="decimal"/>
      <w:lvlText w:val="%1."/>
      <w:lvlJc w:val="left"/>
      <w:pPr>
        <w:ind w:left="720" w:hanging="360"/>
      </w:pPr>
      <w:rPr>
        <w:rFonts w:ascii="Corbel" w:hAnsi="Corbe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defaultTabStop w:val="720"/>
  <w:characterSpacingControl w:val="doNotCompress"/>
  <w:footnotePr>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AF3"/>
    <w:rsid w:val="000521E4"/>
    <w:rsid w:val="000D43E7"/>
    <w:rsid w:val="0019793B"/>
    <w:rsid w:val="001A367A"/>
    <w:rsid w:val="001D6C57"/>
    <w:rsid w:val="00266F52"/>
    <w:rsid w:val="0028613A"/>
    <w:rsid w:val="00322BDC"/>
    <w:rsid w:val="003644C3"/>
    <w:rsid w:val="00371952"/>
    <w:rsid w:val="00396DA3"/>
    <w:rsid w:val="00472BAB"/>
    <w:rsid w:val="004B0DCA"/>
    <w:rsid w:val="004B2A37"/>
    <w:rsid w:val="005C2D42"/>
    <w:rsid w:val="005F3525"/>
    <w:rsid w:val="00645FF7"/>
    <w:rsid w:val="006B61E8"/>
    <w:rsid w:val="00756A8F"/>
    <w:rsid w:val="00760AF3"/>
    <w:rsid w:val="0077369F"/>
    <w:rsid w:val="008209D0"/>
    <w:rsid w:val="00852056"/>
    <w:rsid w:val="00875D2F"/>
    <w:rsid w:val="008E172E"/>
    <w:rsid w:val="00977067"/>
    <w:rsid w:val="009D48FA"/>
    <w:rsid w:val="009D4DC2"/>
    <w:rsid w:val="00A96ECC"/>
    <w:rsid w:val="00B03437"/>
    <w:rsid w:val="00B70C0B"/>
    <w:rsid w:val="00B75408"/>
    <w:rsid w:val="00CC60BC"/>
    <w:rsid w:val="00D01769"/>
    <w:rsid w:val="00D11A21"/>
    <w:rsid w:val="00D74256"/>
    <w:rsid w:val="00D92EDC"/>
    <w:rsid w:val="00DE634C"/>
    <w:rsid w:val="00E07FB2"/>
    <w:rsid w:val="00E11C2E"/>
    <w:rsid w:val="00E85209"/>
    <w:rsid w:val="00F217C0"/>
    <w:rsid w:val="00F43052"/>
    <w:rsid w:val="00FE4A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60AF3"/>
    <w:pPr>
      <w:widowControl w:val="0"/>
      <w:autoSpaceDE w:val="0"/>
      <w:autoSpaceDN w:val="0"/>
      <w:spacing w:before="1" w:after="0" w:line="240" w:lineRule="auto"/>
      <w:ind w:left="159"/>
      <w:outlineLvl w:val="0"/>
    </w:pPr>
    <w:rPr>
      <w:rFonts w:ascii="Times New Roman" w:eastAsia="Times New Roman" w:hAnsi="Times New Roman" w:cs="Times New Roman"/>
      <w:b/>
      <w:bCs/>
      <w:i/>
      <w:sz w:val="56"/>
      <w:szCs w:val="56"/>
      <w:lang w:val="en-US"/>
    </w:rPr>
  </w:style>
  <w:style w:type="paragraph" w:styleId="Heading2">
    <w:name w:val="heading 2"/>
    <w:basedOn w:val="Normal"/>
    <w:link w:val="Heading2Char"/>
    <w:uiPriority w:val="9"/>
    <w:unhideWhenUsed/>
    <w:qFormat/>
    <w:rsid w:val="00760AF3"/>
    <w:pPr>
      <w:widowControl w:val="0"/>
      <w:autoSpaceDE w:val="0"/>
      <w:autoSpaceDN w:val="0"/>
      <w:spacing w:after="0" w:line="320" w:lineRule="exact"/>
      <w:ind w:left="152"/>
      <w:outlineLvl w:val="1"/>
    </w:pPr>
    <w:rPr>
      <w:rFonts w:ascii="PMingLiU" w:eastAsia="PMingLiU" w:hAnsi="PMingLiU" w:cs="PMingLiU"/>
      <w:sz w:val="30"/>
      <w:szCs w:val="30"/>
      <w:lang w:val="en-US"/>
    </w:rPr>
  </w:style>
  <w:style w:type="paragraph" w:styleId="Heading4">
    <w:name w:val="heading 4"/>
    <w:basedOn w:val="Normal"/>
    <w:next w:val="Normal"/>
    <w:link w:val="Heading4Char"/>
    <w:uiPriority w:val="9"/>
    <w:semiHidden/>
    <w:unhideWhenUsed/>
    <w:qFormat/>
    <w:rsid w:val="00FE4AF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AF3"/>
    <w:rPr>
      <w:rFonts w:ascii="Times New Roman" w:eastAsia="Times New Roman" w:hAnsi="Times New Roman" w:cs="Times New Roman"/>
      <w:b/>
      <w:bCs/>
      <w:i/>
      <w:sz w:val="56"/>
      <w:szCs w:val="56"/>
      <w:lang w:val="en-US"/>
    </w:rPr>
  </w:style>
  <w:style w:type="character" w:customStyle="1" w:styleId="Heading2Char">
    <w:name w:val="Heading 2 Char"/>
    <w:basedOn w:val="DefaultParagraphFont"/>
    <w:link w:val="Heading2"/>
    <w:uiPriority w:val="9"/>
    <w:rsid w:val="00760AF3"/>
    <w:rPr>
      <w:rFonts w:ascii="PMingLiU" w:eastAsia="PMingLiU" w:hAnsi="PMingLiU" w:cs="PMingLiU"/>
      <w:sz w:val="30"/>
      <w:szCs w:val="30"/>
      <w:lang w:val="en-US"/>
    </w:rPr>
  </w:style>
  <w:style w:type="paragraph" w:styleId="BodyText">
    <w:name w:val="Body Text"/>
    <w:basedOn w:val="Normal"/>
    <w:link w:val="BodyTextChar"/>
    <w:uiPriority w:val="1"/>
    <w:qFormat/>
    <w:rsid w:val="00760AF3"/>
    <w:pPr>
      <w:widowControl w:val="0"/>
      <w:autoSpaceDE w:val="0"/>
      <w:autoSpaceDN w:val="0"/>
      <w:spacing w:after="0" w:line="240" w:lineRule="auto"/>
    </w:pPr>
    <w:rPr>
      <w:rFonts w:ascii="Times New Roman" w:eastAsia="Times New Roman" w:hAnsi="Times New Roman" w:cs="Times New Roman"/>
      <w:sz w:val="17"/>
      <w:szCs w:val="17"/>
      <w:lang w:val="en-US"/>
    </w:rPr>
  </w:style>
  <w:style w:type="character" w:customStyle="1" w:styleId="BodyTextChar">
    <w:name w:val="Body Text Char"/>
    <w:basedOn w:val="DefaultParagraphFont"/>
    <w:link w:val="BodyText"/>
    <w:uiPriority w:val="1"/>
    <w:rsid w:val="00760AF3"/>
    <w:rPr>
      <w:rFonts w:ascii="Times New Roman" w:eastAsia="Times New Roman" w:hAnsi="Times New Roman" w:cs="Times New Roman"/>
      <w:sz w:val="17"/>
      <w:szCs w:val="17"/>
      <w:lang w:val="en-US"/>
    </w:rPr>
  </w:style>
  <w:style w:type="paragraph" w:styleId="EndnoteText">
    <w:name w:val="endnote text"/>
    <w:basedOn w:val="Normal"/>
    <w:link w:val="EndnoteTextChar"/>
    <w:uiPriority w:val="99"/>
    <w:unhideWhenUsed/>
    <w:rsid w:val="00760AF3"/>
    <w:pPr>
      <w:spacing w:after="0" w:line="240" w:lineRule="auto"/>
    </w:pPr>
    <w:rPr>
      <w:sz w:val="20"/>
      <w:szCs w:val="20"/>
    </w:rPr>
  </w:style>
  <w:style w:type="character" w:customStyle="1" w:styleId="EndnoteTextChar">
    <w:name w:val="Endnote Text Char"/>
    <w:basedOn w:val="DefaultParagraphFont"/>
    <w:link w:val="EndnoteText"/>
    <w:uiPriority w:val="99"/>
    <w:rsid w:val="00760AF3"/>
    <w:rPr>
      <w:sz w:val="20"/>
      <w:szCs w:val="20"/>
    </w:rPr>
  </w:style>
  <w:style w:type="character" w:styleId="EndnoteReference">
    <w:name w:val="endnote reference"/>
    <w:basedOn w:val="DefaultParagraphFont"/>
    <w:uiPriority w:val="99"/>
    <w:unhideWhenUsed/>
    <w:rsid w:val="00760AF3"/>
    <w:rPr>
      <w:vertAlign w:val="superscript"/>
    </w:rPr>
  </w:style>
  <w:style w:type="paragraph" w:styleId="FootnoteText">
    <w:name w:val="footnote text"/>
    <w:basedOn w:val="Normal"/>
    <w:link w:val="FootnoteTextChar"/>
    <w:uiPriority w:val="99"/>
    <w:semiHidden/>
    <w:unhideWhenUsed/>
    <w:rsid w:val="00760A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0AF3"/>
    <w:rPr>
      <w:sz w:val="20"/>
      <w:szCs w:val="20"/>
    </w:rPr>
  </w:style>
  <w:style w:type="character" w:styleId="FootnoteReference">
    <w:name w:val="footnote reference"/>
    <w:basedOn w:val="DefaultParagraphFont"/>
    <w:uiPriority w:val="99"/>
    <w:semiHidden/>
    <w:unhideWhenUsed/>
    <w:rsid w:val="00760AF3"/>
    <w:rPr>
      <w:vertAlign w:val="superscript"/>
    </w:rPr>
  </w:style>
  <w:style w:type="paragraph" w:styleId="ListParagraph">
    <w:name w:val="List Paragraph"/>
    <w:basedOn w:val="Normal"/>
    <w:uiPriority w:val="34"/>
    <w:qFormat/>
    <w:rsid w:val="005C2D42"/>
    <w:pPr>
      <w:ind w:left="720"/>
      <w:contextualSpacing/>
    </w:pPr>
  </w:style>
  <w:style w:type="character" w:customStyle="1" w:styleId="Heading4Char">
    <w:name w:val="Heading 4 Char"/>
    <w:basedOn w:val="DefaultParagraphFont"/>
    <w:link w:val="Heading4"/>
    <w:uiPriority w:val="9"/>
    <w:semiHidden/>
    <w:rsid w:val="00FE4AFD"/>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CAE9C-DBC9-4CF7-9F31-C99AA3700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1973</Words>
  <Characters>11248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2018-09-05T17:24:00Z</dcterms:created>
  <dcterms:modified xsi:type="dcterms:W3CDTF">2018-09-05T17:24:00Z</dcterms:modified>
</cp:coreProperties>
</file>