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footnotes.xml.rels" ContentType="application/vnd.openxmlformats-package.relationship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footnotes.xml" ContentType="application/vnd.openxmlformats-officedocument.wordprocessingml.footnotes+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TextBody"/>
        <w:widowControl w:val="false"/>
        <w:numPr>
          <w:ilvl w:val="0"/>
          <w:numId w:val="1"/>
        </w:numPr>
        <w:suppressAutoHyphens w:val="true"/>
        <w:overflowPunct w:val="true"/>
        <w:bidi w:val="0"/>
        <w:spacing w:lineRule="auto" w:line="288" w:before="0" w:after="120"/>
        <w:ind w:left="0" w:right="0" w:hanging="0"/>
        <w:jc w:val="left"/>
        <w:rPr/>
      </w:pPr>
      <w:r>
        <w:rPr/>
        <w:t xml:space="preserve">Tutti dovrebbero sapere che il latte è l'alimento esclusivo per i neonati fino all'età dello svezzamento, eppure persiste la cultura, e quindi il mercato, delle tisane solubili, anche per bambini di addirittura meno di 1 settimana. O magari, nonostante l'unanimità delle direttive sull'allattamento esclusivo nei primi mesi di vita, è proprio il mercato a creare la cultura, ovvero è il marketing che crea il bisogno... chi lo sa, ma tutto sommato poco importa sapere se è nato prima l'uovo o la gallina. </w:t>
      </w:r>
    </w:p>
    <w:p>
      <w:pPr>
        <w:pStyle w:val="TextBody"/>
        <w:widowControl w:val="false"/>
        <w:numPr>
          <w:ilvl w:val="0"/>
          <w:numId w:val="1"/>
        </w:numPr>
        <w:suppressAutoHyphens w:val="true"/>
        <w:overflowPunct w:val="true"/>
        <w:bidi w:val="0"/>
        <w:spacing w:lineRule="auto" w:line="288" w:before="0" w:after="120"/>
        <w:ind w:left="0" w:right="0" w:hanging="0"/>
        <w:jc w:val="left"/>
        <w:rPr/>
      </w:pPr>
      <w:r>
        <w:rPr/>
        <w:t>Vediamo altri esempi di tisane:</w:t>
      </w:r>
    </w:p>
    <w:p>
      <w:pPr>
        <w:pStyle w:val="TextBody"/>
        <w:numPr>
          <w:ilvl w:val="0"/>
          <w:numId w:val="2"/>
        </w:numPr>
        <w:rPr>
          <w:rStyle w:val="StrongEmphasis"/>
          <w:b w:val="false"/>
          <w:bCs w:val="false"/>
        </w:rPr>
      </w:pPr>
      <w:r>
        <w:rPr/>
        <w:t>La Hipp dichiara che le tisane , al di là della Benessere, sono indicate "dal quarto mese compiuto"</w:t>
      </w:r>
      <w:r>
        <w:rPr>
          <w:rStyle w:val="StrongEmphasis"/>
          <w:b w:val="false"/>
          <w:bCs w:val="false"/>
        </w:rPr>
        <w:t xml:space="preserve">. </w:t>
      </w:r>
    </w:p>
    <w:p>
      <w:pPr>
        <w:pStyle w:val="TextBody"/>
        <w:numPr>
          <w:ilvl w:val="0"/>
          <w:numId w:val="2"/>
        </w:numPr>
        <w:ind w:left="720" w:right="0" w:hanging="360"/>
        <w:rPr/>
      </w:pPr>
      <w:r>
        <w:rPr>
          <w:rStyle w:val="StrongEmphasis"/>
          <w:b w:val="false"/>
          <w:bCs w:val="false"/>
        </w:rPr>
        <w:t>L'Humana</w:t>
      </w:r>
      <w:r>
        <w:rPr>
          <w:b w:val="false"/>
          <w:bCs w:val="false"/>
        </w:rPr>
        <w:t>, e non è l'unica,</w:t>
      </w:r>
      <w:r>
        <w:rPr>
          <w:rStyle w:val="StrongEmphasis"/>
          <w:b w:val="false"/>
          <w:bCs w:val="false"/>
        </w:rPr>
        <w:t xml:space="preserve"> è molto ambigua per quanto riguarda l'età dei bambini a cui si rivolgono le sue tisane</w:t>
      </w:r>
      <w:r>
        <w:rPr>
          <w:b w:val="false"/>
          <w:bCs w:val="false"/>
        </w:rPr>
        <w:t>.</w:t>
      </w:r>
      <w:r>
        <w:rPr/>
        <w:t xml:space="preserve"> Sul sito web, nella </w:t>
      </w:r>
      <w:r>
        <w:rPr>
          <w:rStyle w:val="InternetLink"/>
          <w:color w:val="000000"/>
          <w:u w:val="none"/>
        </w:rPr>
        <w:t>pagina dedicata alle tisane</w:t>
      </w:r>
      <w:r>
        <w:rPr>
          <w:rStyle w:val="InternetLink"/>
          <w:rStyle w:val="FootnoteAnchor"/>
          <w:color w:val="000000"/>
          <w:u w:val="none"/>
        </w:rPr>
        <w:footnoteReference w:id="2"/>
      </w:r>
      <w:r>
        <w:rPr/>
        <w:t> inserisce il solito disclaimer, che spesso va messo per legge:</w:t>
      </w:r>
    </w:p>
    <w:p>
      <w:pPr>
        <w:pStyle w:val="Quotations"/>
        <w:rPr/>
      </w:pPr>
      <w:r>
        <w:rPr/>
        <w:t>Nei primi sei mesi di vita del bambino, l'assunzione di bevande diverse dal latte materno, dal latte formulato o dall'acqua deve essere sempre consigliata dal Pediatra.</w:t>
      </w:r>
    </w:p>
    <w:p>
      <w:pPr>
        <w:pStyle w:val="TextBody"/>
        <w:widowControl w:val="false"/>
        <w:numPr>
          <w:ilvl w:val="0"/>
          <w:numId w:val="1"/>
        </w:numPr>
        <w:suppressAutoHyphens w:val="true"/>
        <w:overflowPunct w:val="true"/>
        <w:bidi w:val="0"/>
        <w:spacing w:lineRule="auto" w:line="288" w:before="0" w:after="120"/>
        <w:ind w:left="0" w:right="0" w:hanging="0"/>
        <w:jc w:val="left"/>
        <w:rPr/>
      </w:pPr>
      <w:r>
        <w:rPr/>
        <w:t>da cui si potrebbe sottintendere che le tisane siano pensate anche per bambini di meno di sei mesi (il che già dà da pensare...). Nelle indicazioni per la preparazione delle tisane invece leggiamo:</w:t>
      </w:r>
    </w:p>
    <w:p>
      <w:pPr>
        <w:pStyle w:val="Quotations"/>
        <w:rPr/>
      </w:pPr>
      <w:r>
        <w:rPr/>
        <w:t>Per i più piccini un cucchiaino da tè colmo (ca. 5 g) in 100 ml di acqua. Per i più grandicelli e gli adulti 2-3 cucchiaini da tè sempre in 100 ml di acqua o secondo i propri gusti.</w:t>
      </w:r>
    </w:p>
    <w:p>
      <w:pPr>
        <w:pStyle w:val="TextBody"/>
        <w:widowControl w:val="false"/>
        <w:numPr>
          <w:ilvl w:val="0"/>
          <w:numId w:val="1"/>
        </w:numPr>
        <w:suppressAutoHyphens w:val="true"/>
        <w:overflowPunct w:val="true"/>
        <w:bidi w:val="0"/>
        <w:spacing w:lineRule="auto" w:line="288" w:before="0" w:after="120"/>
        <w:ind w:left="0" w:right="0" w:hanging="0"/>
        <w:jc w:val="left"/>
        <w:rPr/>
      </w:pPr>
      <w:r>
        <w:rPr/>
        <w:t>Sarebbe interessante capire cosa intendano per "più piccini" e per "grandicelli". Che siano 3 anni? 3 mesi? 3 settimane? Non ci è dato di saperlo...</w:t>
      </w:r>
    </w:p>
    <w:p>
      <w:pPr>
        <w:pStyle w:val="TextBody"/>
        <w:numPr>
          <w:ilvl w:val="0"/>
          <w:numId w:val="2"/>
        </w:numPr>
        <w:rPr>
          <w:rStyle w:val="StrongEmphasis"/>
          <w:b w:val="false"/>
          <w:bCs w:val="false"/>
        </w:rPr>
      </w:pPr>
      <w:r>
        <w:rPr>
          <w:rStyle w:val="StrongEmphasis"/>
          <w:b w:val="false"/>
          <w:bCs w:val="false"/>
        </w:rPr>
        <w:t>La Mellin</w:t>
      </w:r>
      <w:r>
        <w:rPr>
          <w:rStyle w:val="StrongEmphasis"/>
          <w:rStyle w:val="FootnoteAnchor"/>
          <w:b w:val="false"/>
          <w:bCs w:val="false"/>
        </w:rPr>
        <w:footnoteReference w:id="3"/>
      </w:r>
      <w:r>
        <w:rPr>
          <w:rStyle w:val="StrongEmphasis"/>
          <w:b w:val="false"/>
          <w:bCs w:val="false"/>
        </w:rPr>
        <w:t xml:space="preserve"> fino a qualche tempo dichiarava “adatta per tutte le età”, mentre ora non si sbilancia, ma mette il solito disclaimer sull'allattamento al seno esclusivo che viene consigliato fino al sesto mese. Neanche nella preparazione della tisana ci sono indicazioni di età; dicono solo di usarne 3 cucchiaini, equivalenti a circa 5 g di prodotto granulato.</w:t>
      </w:r>
    </w:p>
    <w:p>
      <w:pPr>
        <w:pStyle w:val="TextBody"/>
        <w:numPr>
          <w:ilvl w:val="0"/>
          <w:numId w:val="2"/>
        </w:numPr>
        <w:rPr/>
      </w:pPr>
      <w:r>
        <w:rPr>
          <w:rStyle w:val="StrongEmphasis"/>
          <w:b w:val="false"/>
          <w:bCs w:val="false"/>
        </w:rPr>
        <w:t>La Milupa</w:t>
      </w:r>
      <w:r>
        <w:rPr>
          <w:rStyle w:val="StrongEmphasis"/>
          <w:rStyle w:val="FootnoteAnchor"/>
          <w:b w:val="false"/>
          <w:bCs w:val="false"/>
        </w:rPr>
        <w:footnoteReference w:id="4"/>
      </w:r>
      <w:r>
        <w:rPr>
          <w:rStyle w:val="StrongEmphasis"/>
          <w:b w:val="false"/>
          <w:bCs w:val="false"/>
        </w:rPr>
        <w:t xml:space="preserve"> dice ancora meno e non ha neanche il disclaimer sull'allattamento</w:t>
      </w:r>
      <w:r>
        <w:rPr/>
        <w:t>. Sono però interessanti le indicazioni sulla resa di questa tisana solubile. Sul sito leggo che le tisane sono disponibili...</w:t>
      </w:r>
    </w:p>
    <w:p>
      <w:pPr>
        <w:pStyle w:val="Quotations"/>
        <w:ind w:left="1418" w:right="567" w:hanging="360"/>
        <w:rPr/>
      </w:pPr>
      <w:r>
        <w:rPr/>
        <w:t>...nelle confezioni da 200 g, per preparare 3 litri di bevanda, e da 400 g, per prepararne 8 litri.</w:t>
      </w:r>
    </w:p>
    <w:p>
      <w:pPr>
        <w:pStyle w:val="TextBody"/>
        <w:widowControl w:val="false"/>
        <w:numPr>
          <w:ilvl w:val="0"/>
          <w:numId w:val="1"/>
        </w:numPr>
        <w:suppressAutoHyphens w:val="true"/>
        <w:overflowPunct w:val="true"/>
        <w:bidi w:val="0"/>
        <w:spacing w:lineRule="auto" w:line="288" w:before="0" w:after="120"/>
        <w:ind w:left="0" w:right="0" w:hanging="0"/>
        <w:jc w:val="left"/>
        <w:rPr/>
      </w:pPr>
      <w:r>
        <w:rPr/>
        <w:t xml:space="preserve">Sembrerebbe che diverse confezioni abbiano resa diversa, per cui facciamo una media dei due valori senza porci tante domande. In </w:t>
      </w:r>
      <w:r>
        <w:rPr>
          <w:i/>
          <w:iCs/>
        </w:rPr>
        <w:t>Come si prepara</w:t>
      </w:r>
      <w:r>
        <w:rPr/>
        <w:t xml:space="preserve"> la Milupa dice che per i bambini vanno bene 150 ml, per cui facendo due calcoli posso concludere che a un bambino di età imprecisata sto dando</w:t>
      </w:r>
    </w:p>
    <w:sectPr>
      <w:footnotePr>
        <w:numFmt w:val="decimal"/>
      </w:footnotePr>
      <w:type w:val="nextPage"/>
      <w:pgSz w:w="11906" w:h="16838"/>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s>
</file>

<file path=word/footnotes.xml><?xml version="1.0" encoding="utf-8"?>
<w:footnotes xmlns:w="http://schemas.openxmlformats.org/wordprocessingml/2006/main" xmlns:r="http://schemas.openxmlformats.org/officeDocument/2006/relationships">
  <w:footnote w:id="0" w:type="separator">
    <w:p>
      <w:r>
        <w:separator/>
      </w:r>
    </w:p>
  </w:footnote>
  <w:footnote w:id="1" w:type="continuationSeparator">
    <w:p>
      <w:r>
        <w:continuationSeparator/>
      </w:r>
    </w:p>
  </w:footnote>
  <w:footnote w:id="2">
    <w:p>
      <w:pPr>
        <w:pStyle w:val="Footnote"/>
        <w:rPr>
          <w:shd w:fill="FFFFFF" w:val="clear"/>
        </w:rPr>
      </w:pPr>
      <w:hyperlink r:id="rId1">
        <w:bookmarkStart w:id="0" w:name="__UnoMark__51639_472593991"/>
        <w:r>
          <w:rPr>
            <w:rStyle w:val="InternetLink"/>
            <w:shd w:fill="FFFFFF" w:val="clear"/>
          </w:rPr>
          <w:footnoteRef/>
          <w:tab/>
          <w:t>http://www.humana.it/Prodotti/10/Tisane_e_Camomilla</w:t>
        </w:r>
      </w:hyperlink>
      <w:bookmarkEnd w:id="0"/>
      <w:r>
        <w:rPr>
          <w:shd w:fill="FFFFFF" w:val="clear"/>
        </w:rPr>
        <w:t xml:space="preserve"> </w:t>
      </w:r>
    </w:p>
  </w:footnote>
  <w:footnote w:id="3">
    <w:p>
      <w:pPr>
        <w:pStyle w:val="Footnote"/>
        <w:rPr>
          <w:shd w:fill="FFFFFF" w:val="clear"/>
        </w:rPr>
      </w:pPr>
      <w:hyperlink r:id="rId2">
        <w:bookmarkStart w:id="1" w:name="__UnoMark__51640_472593991"/>
        <w:r>
          <w:rPr>
            <w:rStyle w:val="InternetLink"/>
            <w:shd w:fill="FFFFFF" w:val="clear"/>
          </w:rPr>
          <w:footnoteRef/>
          <w:tab/>
          <w:t>http://mellin.it/prodotti/svezzamento/tisane/Pagine/Default.aspx</w:t>
        </w:r>
      </w:hyperlink>
      <w:bookmarkEnd w:id="1"/>
      <w:r>
        <w:rPr>
          <w:shd w:fill="FFFFFF" w:val="clear"/>
        </w:rPr>
        <w:t xml:space="preserve"> </w:t>
      </w:r>
    </w:p>
  </w:footnote>
  <w:footnote w:id="4">
    <w:p>
      <w:pPr>
        <w:pStyle w:val="Footnote"/>
        <w:rPr>
          <w:shd w:fill="FFFFFF" w:val="clear"/>
        </w:rPr>
      </w:pPr>
      <w:hyperlink r:id="rId3">
        <w:bookmarkStart w:id="2" w:name="__UnoMark__51641_472593991"/>
        <w:r>
          <w:rPr>
            <w:rStyle w:val="InternetLink"/>
            <w:shd w:fill="FFFFFF" w:val="clear"/>
          </w:rPr>
          <w:footnoteRef/>
          <w:tab/>
          <w:t>http://www.milupa.it/interna_prodotti.aspx?idA=121&amp;idAP=64</w:t>
        </w:r>
      </w:hyperlink>
      <w:bookmarkEnd w:id="2"/>
      <w:r>
        <w:rPr>
          <w:shd w:fill="FFFFFF" w:val="clear"/>
        </w:rPr>
        <w:t xml:space="preserve"> </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720" w:hanging="432"/>
      </w:pPr>
    </w:lvl>
    <w:lvl w:ilvl="1">
      <w:start w:val="1"/>
      <w:numFmt w:val="none"/>
      <w:suff w:val="nothing"/>
      <w:lvlText w:val=""/>
      <w:lvlJc w:val="left"/>
      <w:pPr>
        <w:ind w:left="1080" w:hanging="576"/>
      </w:pPr>
    </w:lvl>
    <w:lvl w:ilvl="2">
      <w:start w:val="1"/>
      <w:numFmt w:val="none"/>
      <w:suff w:val="nothing"/>
      <w:lvlText w:val=""/>
      <w:lvlJc w:val="left"/>
      <w:pPr>
        <w:ind w:left="1440" w:hanging="720"/>
      </w:pPr>
    </w:lvl>
    <w:lvl w:ilvl="3">
      <w:start w:val="1"/>
      <w:numFmt w:val="none"/>
      <w:suff w:val="nothing"/>
      <w:lvlText w:val=""/>
      <w:lvlJc w:val="left"/>
      <w:pPr>
        <w:ind w:left="1800" w:hanging="864"/>
      </w:pPr>
    </w:lvl>
    <w:lvl w:ilvl="4">
      <w:start w:val="1"/>
      <w:numFmt w:val="none"/>
      <w:suff w:val="nothing"/>
      <w:lvlText w:val=""/>
      <w:lvlJc w:val="left"/>
      <w:pPr>
        <w:ind w:left="2160" w:hanging="1008"/>
      </w:pPr>
    </w:lvl>
    <w:lvl w:ilvl="5">
      <w:start w:val="1"/>
      <w:numFmt w:val="none"/>
      <w:suff w:val="nothing"/>
      <w:lvlText w:val=""/>
      <w:lvlJc w:val="left"/>
      <w:pPr>
        <w:ind w:left="2520" w:hanging="1152"/>
      </w:pPr>
    </w:lvl>
    <w:lvl w:ilvl="6">
      <w:start w:val="1"/>
      <w:numFmt w:val="none"/>
      <w:suff w:val="nothing"/>
      <w:lvlText w:val=""/>
      <w:lvlJc w:val="left"/>
      <w:pPr>
        <w:ind w:left="2880" w:hanging="1296"/>
      </w:pPr>
    </w:lvl>
    <w:lvl w:ilvl="7">
      <w:start w:val="1"/>
      <w:numFmt w:val="none"/>
      <w:suff w:val="nothing"/>
      <w:lvlText w:val=""/>
      <w:lvlJc w:val="left"/>
      <w:pPr>
        <w:ind w:left="3240" w:hanging="1440"/>
      </w:pPr>
    </w:lvl>
    <w:lvl w:ilvl="8">
      <w:start w:val="1"/>
      <w:numFmt w:val="none"/>
      <w:suff w:val="nothing"/>
      <w:lvlText w:val=""/>
      <w:lvlJc w:val="left"/>
      <w:pPr>
        <w:ind w:left="3600" w:hanging="1584"/>
      </w:pPr>
    </w:lvl>
  </w:abstractNum>
  <w:abstractNum w:abstractNumId="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15"/>
  <w:defaultTabStop w:val="709"/>
  <w:footnotePr>
    <w:numFmt w:val="decimal"/>
    <w:footnote w:id="0"/>
    <w:footnote w:id="1"/>
  </w:footnotePr>
</w:settings>
</file>

<file path=word/styles.xml><?xml version="1.0" encoding="utf-8"?>
<w:styles xmlns:w="http://schemas.openxmlformats.org/wordprocessingml/2006/main">
  <w:docDefaults>
    <w:rPrDefault>
      <w:rPr>
        <w:rFonts w:ascii="Liberation Serif" w:hAnsi="Liberation Serif" w:eastAsia="SimSun" w:cs="Lucida Sans"/>
        <w:sz w:val="24"/>
        <w:szCs w:val="24"/>
        <w:lang w:val="it-IT" w:eastAsia="zh-CN" w:bidi="hi-IN"/>
      </w:rPr>
    </w:rPrDefault>
    <w:pPrDefault>
      <w:pPr/>
    </w:pPrDefault>
  </w:docDefaults>
  <w:style w:type="paragraph" w:styleId="Normal">
    <w:name w:val="Normal"/>
    <w:pPr>
      <w:widowControl w:val="false"/>
      <w:suppressAutoHyphens w:val="true"/>
    </w:pPr>
    <w:rPr>
      <w:rFonts w:ascii="Liberation Serif" w:hAnsi="Liberation Serif" w:eastAsia="SimSun" w:cs="Lucida Sans"/>
      <w:color w:val="auto"/>
      <w:sz w:val="24"/>
      <w:szCs w:val="24"/>
      <w:lang w:val="it-IT" w:eastAsia="zh-CN" w:bidi="hi-IN"/>
    </w:rPr>
  </w:style>
  <w:style w:type="character" w:styleId="StrongEmphasis">
    <w:name w:val="Strong Emphasis"/>
    <w:rPr>
      <w:b/>
      <w:bCs/>
    </w:rPr>
  </w:style>
  <w:style w:type="character" w:styleId="InternetLink">
    <w:name w:val="Internet Link"/>
    <w:rPr>
      <w:color w:val="000080"/>
      <w:u w:val="single"/>
      <w:lang w:val="zxx" w:eastAsia="zxx" w:bidi="zxx"/>
    </w:rPr>
  </w:style>
  <w:style w:type="character" w:styleId="FootnoteCharacters">
    <w:name w:val="Footnote Characters"/>
    <w:rPr/>
  </w:style>
  <w:style w:type="character" w:styleId="FootnoteAnchor">
    <w:name w:val="Footnote Anchor"/>
    <w:rPr>
      <w:vertAlign w:val="superscript"/>
    </w:rPr>
  </w:style>
  <w:style w:type="character" w:styleId="EndnoteAnchor">
    <w:name w:val="Endnote Anchor"/>
    <w:rPr>
      <w:vertAlign w:val="superscript"/>
    </w:rPr>
  </w:style>
  <w:style w:type="character" w:styleId="EndnoteCharacters">
    <w:name w:val="Endnote Characters"/>
    <w:rPr/>
  </w:style>
  <w:style w:type="paragraph" w:styleId="Heading">
    <w:name w:val="Heading"/>
    <w:basedOn w:val="Normal"/>
    <w:next w:val="TextBody"/>
    <w:pPr>
      <w:keepNext/>
      <w:spacing w:before="240" w:after="120"/>
    </w:pPr>
    <w:rPr>
      <w:rFonts w:ascii="Liberation Sans" w:hAnsi="Liberation Sans" w:eastAsia="SimSun" w:cs="Lucida 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Lucida Sans"/>
    </w:rPr>
  </w:style>
  <w:style w:type="paragraph" w:styleId="Caption">
    <w:name w:val="Caption"/>
    <w:basedOn w:val="Normal"/>
    <w:pPr>
      <w:suppressLineNumbers/>
      <w:spacing w:before="120" w:after="120"/>
    </w:pPr>
    <w:rPr>
      <w:rFonts w:cs="Lucida Sans"/>
      <w:i/>
      <w:iCs/>
      <w:sz w:val="24"/>
      <w:szCs w:val="24"/>
    </w:rPr>
  </w:style>
  <w:style w:type="paragraph" w:styleId="Index">
    <w:name w:val="Index"/>
    <w:basedOn w:val="Normal"/>
    <w:pPr>
      <w:suppressLineNumbers/>
    </w:pPr>
    <w:rPr>
      <w:rFonts w:cs="Lucida Sans"/>
    </w:rPr>
  </w:style>
  <w:style w:type="paragraph" w:styleId="Footnote">
    <w:name w:val="Footnote"/>
    <w:basedOn w:val="Normal"/>
    <w:pPr>
      <w:suppressLineNumbers/>
      <w:ind w:left="339" w:right="0" w:hanging="339"/>
    </w:pPr>
    <w:rPr>
      <w:sz w:val="20"/>
      <w:szCs w:val="20"/>
    </w:rPr>
  </w:style>
  <w:style w:type="paragraph" w:styleId="Quotations">
    <w:name w:val="Quotations"/>
    <w:basedOn w:val="Normal"/>
    <w:pPr>
      <w:spacing w:before="0" w:after="283"/>
      <w:ind w:left="567" w:right="567" w:hanging="0"/>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notes" Target="footnotes.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
</Relationships>
</file>

<file path=word/_rels/footnotes.xml.rels><?xml version="1.0" encoding="UTF-8"?>
<Relationships xmlns="http://schemas.openxmlformats.org/package/2006/relationships"><Relationship Id="rId1" Type="http://schemas.openxmlformats.org/officeDocument/2006/relationships/hyperlink" Target="http://www.humana.it/Prodotti/10/Tisane_e_Camomilla" TargetMode="External"/><Relationship Id="rId2" Type="http://schemas.openxmlformats.org/officeDocument/2006/relationships/hyperlink" Target="http://mellin.it/prodotti/svezzamento/tisane/Pagine/Default.aspx" TargetMode="External"/><Relationship Id="rId3" Type="http://schemas.openxmlformats.org/officeDocument/2006/relationships/hyperlink" Target="http://www.milupa.it/interna_prodotti.aspx?idA=121&amp;idAP=64" TargetMode="External"/>
</Relationships>
</file>

<file path=docProps/app.xml><?xml version="1.0" encoding="utf-8"?>
<Properties xmlns="http://schemas.openxmlformats.org/officeDocument/2006/extended-properties" xmlns:vt="http://schemas.openxmlformats.org/officeDocument/2006/docPropsVTypes">
  <TotalTime>0</TotalTim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2014-04-19T23:42:52Z</dcterms:created>
  <dc:language>it-IT</dc:language>
  <cp:revision>0</cp:revision>
</cp:coreProperties>
</file>